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34" w:rsidRPr="004B0C50" w:rsidRDefault="00B5686C" w:rsidP="004E3634">
      <w:pPr>
        <w:spacing w:after="120" w:line="276" w:lineRule="auto"/>
        <w:jc w:val="center"/>
        <w:rPr>
          <w:b/>
          <w:lang w:val="en-GB"/>
        </w:rPr>
      </w:pPr>
      <w:r>
        <w:rPr>
          <w:b/>
          <w:lang w:val="en-GB"/>
        </w:rPr>
        <w:t>Central and Eastern European</w:t>
      </w:r>
      <w:r w:rsidRPr="004B0C50">
        <w:rPr>
          <w:b/>
          <w:lang w:val="en-GB"/>
        </w:rPr>
        <w:t xml:space="preserve"> </w:t>
      </w:r>
      <w:bookmarkStart w:id="0" w:name="_GoBack"/>
      <w:bookmarkEnd w:id="0"/>
      <w:r w:rsidR="004E3634" w:rsidRPr="004B0C50">
        <w:rPr>
          <w:b/>
          <w:lang w:val="en-GB"/>
        </w:rPr>
        <w:t>transition experience in EU development policy</w:t>
      </w:r>
    </w:p>
    <w:p w:rsidR="00DC5F3B" w:rsidRPr="004B0C50" w:rsidRDefault="00DC5F3B" w:rsidP="00DC5F3B">
      <w:pPr>
        <w:spacing w:after="120" w:line="276" w:lineRule="auto"/>
        <w:rPr>
          <w:lang w:val="en-GB"/>
        </w:rPr>
      </w:pPr>
    </w:p>
    <w:p w:rsidR="00DC5F3B" w:rsidRPr="004B0C50" w:rsidRDefault="00DC5F3B" w:rsidP="00DC5F3B">
      <w:pPr>
        <w:spacing w:after="120" w:line="276" w:lineRule="auto"/>
        <w:jc w:val="center"/>
        <w:outlineLvl w:val="0"/>
        <w:rPr>
          <w:vertAlign w:val="superscript"/>
          <w:lang w:val="en-GB"/>
        </w:rPr>
      </w:pPr>
      <w:proofErr w:type="spellStart"/>
      <w:r w:rsidRPr="004B0C50">
        <w:rPr>
          <w:lang w:val="en-GB"/>
        </w:rPr>
        <w:t>Balázs</w:t>
      </w:r>
      <w:proofErr w:type="spellEnd"/>
      <w:r w:rsidRPr="004B0C50">
        <w:rPr>
          <w:lang w:val="en-GB"/>
        </w:rPr>
        <w:t xml:space="preserve"> </w:t>
      </w:r>
      <w:proofErr w:type="spellStart"/>
      <w:r w:rsidRPr="004B0C50">
        <w:rPr>
          <w:lang w:val="en-GB"/>
        </w:rPr>
        <w:t>Szent-Iványi</w:t>
      </w:r>
      <w:r>
        <w:rPr>
          <w:vertAlign w:val="superscript"/>
          <w:lang w:val="en-GB"/>
        </w:rPr>
        <w:t>a</w:t>
      </w:r>
      <w:proofErr w:type="spellEnd"/>
      <w:r w:rsidRPr="004B0C50">
        <w:rPr>
          <w:vertAlign w:val="superscript"/>
          <w:lang w:val="en-GB"/>
        </w:rPr>
        <w:t>,</w:t>
      </w:r>
      <w:r w:rsidRPr="004B0C50">
        <w:rPr>
          <w:rStyle w:val="FootnoteReference"/>
          <w:lang w:val="en-GB"/>
        </w:rPr>
        <w:footnoteReference w:id="1"/>
      </w:r>
      <w:r>
        <w:rPr>
          <w:lang w:val="en-GB"/>
        </w:rPr>
        <w:t xml:space="preserve"> S</w:t>
      </w:r>
      <w:r w:rsidRPr="004B0C50">
        <w:rPr>
          <w:lang w:val="en-GB"/>
        </w:rPr>
        <w:t xml:space="preserve">imon </w:t>
      </w:r>
      <w:proofErr w:type="spellStart"/>
      <w:r w:rsidRPr="004B0C50">
        <w:rPr>
          <w:lang w:val="en-GB"/>
        </w:rPr>
        <w:t>Lightfoot</w:t>
      </w:r>
      <w:r>
        <w:rPr>
          <w:vertAlign w:val="superscript"/>
          <w:lang w:val="en-GB"/>
        </w:rPr>
        <w:t>b</w:t>
      </w:r>
      <w:proofErr w:type="spellEnd"/>
    </w:p>
    <w:p w:rsidR="00DC5F3B" w:rsidRDefault="00DC5F3B" w:rsidP="00DC5F3B">
      <w:pPr>
        <w:spacing w:after="120" w:line="276" w:lineRule="auto"/>
        <w:jc w:val="center"/>
        <w:rPr>
          <w:i/>
          <w:sz w:val="20"/>
          <w:szCs w:val="20"/>
          <w:lang w:val="en-GB"/>
        </w:rPr>
      </w:pPr>
    </w:p>
    <w:p w:rsidR="00DC5F3B" w:rsidRDefault="00DC5F3B" w:rsidP="00DC5F3B">
      <w:pPr>
        <w:spacing w:after="120" w:line="276" w:lineRule="auto"/>
        <w:jc w:val="center"/>
        <w:rPr>
          <w:sz w:val="20"/>
          <w:szCs w:val="20"/>
          <w:lang w:val="en-GB"/>
        </w:rPr>
      </w:pPr>
      <w:proofErr w:type="gramStart"/>
      <w:r w:rsidRPr="004B0C50">
        <w:rPr>
          <w:i/>
          <w:sz w:val="20"/>
          <w:szCs w:val="20"/>
          <w:vertAlign w:val="superscript"/>
          <w:lang w:val="en-GB"/>
        </w:rPr>
        <w:t>a</w:t>
      </w:r>
      <w:proofErr w:type="gramEnd"/>
      <w:r w:rsidRPr="004B0C50">
        <w:rPr>
          <w:i/>
          <w:sz w:val="20"/>
          <w:szCs w:val="20"/>
          <w:lang w:val="en-GB"/>
        </w:rPr>
        <w:t xml:space="preserve"> </w:t>
      </w:r>
      <w:r>
        <w:rPr>
          <w:i/>
          <w:sz w:val="20"/>
          <w:szCs w:val="20"/>
          <w:lang w:val="en-GB"/>
        </w:rPr>
        <w:t>Aston University</w:t>
      </w:r>
      <w:r>
        <w:rPr>
          <w:i/>
          <w:sz w:val="20"/>
          <w:szCs w:val="20"/>
          <w:lang w:val="en-GB"/>
        </w:rPr>
        <w:br/>
      </w:r>
      <w:r w:rsidRPr="00701573">
        <w:rPr>
          <w:sz w:val="20"/>
          <w:szCs w:val="20"/>
          <w:lang w:val="en-GB"/>
        </w:rPr>
        <w:t>School of Languages and Social Sciences</w:t>
      </w:r>
      <w:r w:rsidRPr="00701573">
        <w:rPr>
          <w:sz w:val="20"/>
          <w:szCs w:val="20"/>
          <w:lang w:val="en-GB"/>
        </w:rPr>
        <w:br/>
      </w:r>
      <w:r w:rsidRPr="00A85CEB">
        <w:rPr>
          <w:sz w:val="20"/>
          <w:szCs w:val="20"/>
          <w:lang w:val="en-GB"/>
        </w:rPr>
        <w:t>Aston Triangle, Birmingham B4 7ET, U</w:t>
      </w:r>
      <w:r>
        <w:rPr>
          <w:sz w:val="20"/>
          <w:szCs w:val="20"/>
          <w:lang w:val="en-GB"/>
        </w:rPr>
        <w:t>K</w:t>
      </w:r>
    </w:p>
    <w:p w:rsidR="00DC5F3B" w:rsidRPr="00A85CEB" w:rsidRDefault="00DC5F3B" w:rsidP="00DC5F3B">
      <w:pPr>
        <w:spacing w:after="120" w:line="276" w:lineRule="auto"/>
        <w:jc w:val="center"/>
        <w:rPr>
          <w:sz w:val="20"/>
          <w:szCs w:val="20"/>
          <w:lang w:val="en-GB"/>
        </w:rPr>
      </w:pPr>
    </w:p>
    <w:p w:rsidR="00DC5F3B" w:rsidRPr="004B0C50" w:rsidRDefault="00DC5F3B" w:rsidP="00DC5F3B">
      <w:pPr>
        <w:spacing w:after="120" w:line="276" w:lineRule="auto"/>
        <w:jc w:val="center"/>
        <w:rPr>
          <w:i/>
          <w:sz w:val="20"/>
          <w:szCs w:val="20"/>
          <w:lang w:val="en-GB"/>
        </w:rPr>
      </w:pPr>
      <w:proofErr w:type="gramStart"/>
      <w:r w:rsidRPr="004B0C50">
        <w:rPr>
          <w:i/>
          <w:sz w:val="20"/>
          <w:szCs w:val="20"/>
          <w:vertAlign w:val="superscript"/>
          <w:lang w:val="en-GB"/>
        </w:rPr>
        <w:t>b</w:t>
      </w:r>
      <w:proofErr w:type="gramEnd"/>
      <w:r w:rsidRPr="004B0C50">
        <w:rPr>
          <w:i/>
          <w:sz w:val="20"/>
          <w:szCs w:val="20"/>
          <w:lang w:val="en-GB"/>
        </w:rPr>
        <w:t xml:space="preserve"> University of Leeds</w:t>
      </w:r>
      <w:r w:rsidRPr="004B0C50">
        <w:rPr>
          <w:i/>
          <w:sz w:val="20"/>
          <w:szCs w:val="20"/>
          <w:lang w:val="en-GB"/>
        </w:rPr>
        <w:br/>
      </w:r>
      <w:r w:rsidRPr="004B0C50">
        <w:rPr>
          <w:sz w:val="20"/>
          <w:szCs w:val="20"/>
          <w:lang w:val="en-GB"/>
        </w:rPr>
        <w:t>School of Politics and International Studies (POLIS)</w:t>
      </w:r>
      <w:r w:rsidRPr="004B0C50">
        <w:rPr>
          <w:sz w:val="20"/>
          <w:szCs w:val="20"/>
          <w:lang w:val="en-GB"/>
        </w:rPr>
        <w:br/>
        <w:t xml:space="preserve">Woodhouse Lane, </w:t>
      </w:r>
      <w:r>
        <w:rPr>
          <w:sz w:val="20"/>
          <w:szCs w:val="20"/>
          <w:lang w:val="en-GB"/>
        </w:rPr>
        <w:t xml:space="preserve">Leeds </w:t>
      </w:r>
      <w:r w:rsidRPr="004B0C50">
        <w:rPr>
          <w:sz w:val="20"/>
          <w:szCs w:val="20"/>
          <w:lang w:val="en-GB"/>
        </w:rPr>
        <w:t>LS2 9JT, UK</w:t>
      </w:r>
      <w:r w:rsidRPr="004B0C50">
        <w:rPr>
          <w:i/>
          <w:sz w:val="20"/>
          <w:szCs w:val="20"/>
          <w:lang w:val="en-GB"/>
        </w:rPr>
        <w:t xml:space="preserve"> </w:t>
      </w:r>
    </w:p>
    <w:p w:rsidR="00DC5F3B" w:rsidRDefault="00DC5F3B" w:rsidP="00DC5F3B">
      <w:pPr>
        <w:spacing w:after="120" w:line="276" w:lineRule="auto"/>
        <w:rPr>
          <w:lang w:val="en-GB"/>
        </w:rPr>
      </w:pPr>
    </w:p>
    <w:p w:rsidR="00DC5F3B" w:rsidRDefault="00DC5F3B" w:rsidP="00DC5F3B">
      <w:pPr>
        <w:spacing w:after="120" w:line="276" w:lineRule="auto"/>
        <w:jc w:val="both"/>
        <w:rPr>
          <w:lang w:val="en-GB"/>
        </w:rPr>
      </w:pPr>
      <w:r>
        <w:rPr>
          <w:lang w:val="en-GB"/>
        </w:rPr>
        <w:t xml:space="preserve">The ability of member states to exert influence on EU policy making has received much scholarly attention in several policy areas. This paper looks at the influence of the Central and Eastern European (CEE) member states on the EU’s international development policy. Specifically, it examines how successful these states have been in uploading </w:t>
      </w:r>
      <w:r w:rsidRPr="00691BC8">
        <w:rPr>
          <w:lang w:val="en-GB"/>
        </w:rPr>
        <w:t>their experience gained from reforming their economies and polities gathered during the transition process, into the EU’s development polic</w:t>
      </w:r>
      <w:r>
        <w:rPr>
          <w:lang w:val="en-GB"/>
        </w:rPr>
        <w:t xml:space="preserve">y. While there is evidence of successful uploading, this is mainly on the rhetorical </w:t>
      </w:r>
      <w:r w:rsidRPr="00135F4B">
        <w:rPr>
          <w:lang w:val="en-GB"/>
        </w:rPr>
        <w:t>level, and there is little to show in practice. The paper argues that this is due to a number of reasons, including the low salience of development policy in the CEE countries, the inability of these states to muster allies and their low capacities. More importantly however the CEE states have failed to convince the older members that incorporating their transition experience into the common development policy is in the Community interest, and many see it as a threat to the poverty reduction agenda of policy area.</w:t>
      </w:r>
    </w:p>
    <w:p w:rsidR="00DC5F3B" w:rsidRDefault="00DC5F3B" w:rsidP="00DC5F3B">
      <w:pPr>
        <w:spacing w:after="120" w:line="276" w:lineRule="auto"/>
        <w:rPr>
          <w:lang w:val="en-GB"/>
        </w:rPr>
      </w:pPr>
    </w:p>
    <w:p w:rsidR="00DC5F3B" w:rsidRDefault="00DC5F3B" w:rsidP="00DC5F3B">
      <w:pPr>
        <w:spacing w:after="120" w:line="276" w:lineRule="auto"/>
        <w:rPr>
          <w:lang w:val="en-GB"/>
        </w:rPr>
      </w:pPr>
      <w:r w:rsidRPr="00135F4B">
        <w:rPr>
          <w:i/>
          <w:lang w:val="en-GB"/>
        </w:rPr>
        <w:t>Keywords:</w:t>
      </w:r>
      <w:r>
        <w:rPr>
          <w:lang w:val="en-GB"/>
        </w:rPr>
        <w:t xml:space="preserve"> EU decision making, Central and Eastern Europe, influence, development policy, transition experience</w:t>
      </w:r>
    </w:p>
    <w:p w:rsidR="0025799C" w:rsidRDefault="0025799C" w:rsidP="00781441">
      <w:pPr>
        <w:spacing w:line="276" w:lineRule="auto"/>
        <w:rPr>
          <w:lang w:val="en-GB"/>
        </w:rPr>
      </w:pPr>
    </w:p>
    <w:p w:rsidR="00DC5F3B" w:rsidRDefault="00DC5F3B" w:rsidP="00781441">
      <w:pPr>
        <w:spacing w:line="276" w:lineRule="auto"/>
        <w:rPr>
          <w:lang w:val="en-GB"/>
        </w:rPr>
      </w:pPr>
    </w:p>
    <w:p w:rsidR="00DC5F3B" w:rsidRPr="004B0C50" w:rsidRDefault="00DC5F3B" w:rsidP="00781441">
      <w:pPr>
        <w:spacing w:line="276" w:lineRule="auto"/>
        <w:rPr>
          <w:lang w:val="en-GB"/>
        </w:rPr>
      </w:pPr>
    </w:p>
    <w:p w:rsidR="001E2083" w:rsidRPr="004B0C50" w:rsidRDefault="007E6FBE" w:rsidP="00781441">
      <w:pPr>
        <w:spacing w:line="276" w:lineRule="auto"/>
        <w:rPr>
          <w:b/>
          <w:lang w:val="en-GB"/>
        </w:rPr>
      </w:pPr>
      <w:r w:rsidRPr="004B0C50">
        <w:rPr>
          <w:b/>
          <w:lang w:val="en-GB"/>
        </w:rPr>
        <w:t xml:space="preserve">1. </w:t>
      </w:r>
      <w:r w:rsidR="0025799C" w:rsidRPr="004B0C50">
        <w:rPr>
          <w:b/>
          <w:lang w:val="en-GB"/>
        </w:rPr>
        <w:t>Introduction</w:t>
      </w:r>
    </w:p>
    <w:p w:rsidR="0025799C" w:rsidRPr="004B0C50" w:rsidRDefault="0025799C" w:rsidP="00781441">
      <w:pPr>
        <w:spacing w:line="276" w:lineRule="auto"/>
        <w:rPr>
          <w:lang w:val="en-GB"/>
        </w:rPr>
      </w:pPr>
    </w:p>
    <w:p w:rsidR="0060060A" w:rsidRDefault="00571D8C" w:rsidP="00781441">
      <w:pPr>
        <w:spacing w:line="276" w:lineRule="auto"/>
        <w:jc w:val="both"/>
        <w:rPr>
          <w:lang w:val="en-GB"/>
        </w:rPr>
      </w:pPr>
      <w:r>
        <w:rPr>
          <w:lang w:val="en-GB"/>
        </w:rPr>
        <w:t xml:space="preserve">Processes of </w:t>
      </w:r>
      <w:r w:rsidR="00140FF4">
        <w:rPr>
          <w:lang w:val="en-GB"/>
        </w:rPr>
        <w:t xml:space="preserve">post-enlargement </w:t>
      </w:r>
      <w:r>
        <w:rPr>
          <w:lang w:val="en-GB"/>
        </w:rPr>
        <w:t xml:space="preserve">intergovernmental decision making in the Council of </w:t>
      </w:r>
      <w:r w:rsidR="0060060A">
        <w:rPr>
          <w:lang w:val="en-GB"/>
        </w:rPr>
        <w:t xml:space="preserve">the </w:t>
      </w:r>
      <w:r>
        <w:rPr>
          <w:lang w:val="en-GB"/>
        </w:rPr>
        <w:t xml:space="preserve">European Union </w:t>
      </w:r>
      <w:r w:rsidR="00EB03FF">
        <w:rPr>
          <w:lang w:val="en-GB"/>
        </w:rPr>
        <w:t>have received much attenti</w:t>
      </w:r>
      <w:r w:rsidR="00140FF4">
        <w:rPr>
          <w:lang w:val="en-GB"/>
        </w:rPr>
        <w:t xml:space="preserve">on in the scholarly literature, especially concerning the role of the </w:t>
      </w:r>
      <w:r w:rsidR="00F11C6A">
        <w:rPr>
          <w:lang w:val="en-GB"/>
        </w:rPr>
        <w:t xml:space="preserve">new member states </w:t>
      </w:r>
      <w:r w:rsidR="00140FF4" w:rsidRPr="00140FF4">
        <w:rPr>
          <w:lang w:val="en-GB"/>
        </w:rPr>
        <w:t xml:space="preserve">(Arregui </w:t>
      </w:r>
      <w:r w:rsidR="00952DB2">
        <w:rPr>
          <w:lang w:val="en-GB"/>
        </w:rPr>
        <w:t>and</w:t>
      </w:r>
      <w:r w:rsidR="00140FF4" w:rsidRPr="00140FF4">
        <w:rPr>
          <w:lang w:val="en-GB"/>
        </w:rPr>
        <w:t xml:space="preserve"> Thomson 2009; Thomson 2009;</w:t>
      </w:r>
      <w:r w:rsidR="00140FF4">
        <w:rPr>
          <w:lang w:val="en-GB"/>
        </w:rPr>
        <w:t xml:space="preserve"> </w:t>
      </w:r>
      <w:proofErr w:type="spellStart"/>
      <w:r w:rsidR="00A6367A">
        <w:rPr>
          <w:lang w:val="en-GB"/>
        </w:rPr>
        <w:t>Copsey</w:t>
      </w:r>
      <w:proofErr w:type="spellEnd"/>
      <w:r w:rsidR="00A6367A">
        <w:rPr>
          <w:lang w:val="en-GB"/>
        </w:rPr>
        <w:t xml:space="preserve"> and </w:t>
      </w:r>
      <w:proofErr w:type="spellStart"/>
      <w:r w:rsidR="00A6367A">
        <w:rPr>
          <w:lang w:val="en-GB"/>
        </w:rPr>
        <w:t>Pomorska</w:t>
      </w:r>
      <w:proofErr w:type="spellEnd"/>
      <w:r w:rsidR="00A6367A">
        <w:rPr>
          <w:lang w:val="en-GB"/>
        </w:rPr>
        <w:t xml:space="preserve"> 2010; </w:t>
      </w:r>
      <w:proofErr w:type="spellStart"/>
      <w:r w:rsidR="00140FF4" w:rsidRPr="00140FF4">
        <w:rPr>
          <w:lang w:val="en-GB"/>
        </w:rPr>
        <w:t>Plechanovov</w:t>
      </w:r>
      <w:r w:rsidR="00434F4E">
        <w:rPr>
          <w:lang w:val="en-GB"/>
        </w:rPr>
        <w:t>á</w:t>
      </w:r>
      <w:proofErr w:type="spellEnd"/>
      <w:r w:rsidR="00140FF4" w:rsidRPr="00140FF4">
        <w:rPr>
          <w:lang w:val="en-GB"/>
        </w:rPr>
        <w:t xml:space="preserve"> 2011</w:t>
      </w:r>
      <w:r w:rsidR="00A6367A">
        <w:rPr>
          <w:lang w:val="en-GB"/>
        </w:rPr>
        <w:t>;</w:t>
      </w:r>
      <w:r w:rsidR="00140FF4">
        <w:rPr>
          <w:lang w:val="en-GB"/>
        </w:rPr>
        <w:t xml:space="preserve"> Copeland 2014</w:t>
      </w:r>
      <w:r w:rsidR="00140FF4" w:rsidRPr="00140FF4">
        <w:rPr>
          <w:lang w:val="en-GB"/>
        </w:rPr>
        <w:t>).</w:t>
      </w:r>
      <w:r w:rsidR="00C13A56">
        <w:rPr>
          <w:lang w:val="en-GB"/>
        </w:rPr>
        <w:t xml:space="preserve"> </w:t>
      </w:r>
      <w:r w:rsidR="004048B3">
        <w:rPr>
          <w:lang w:val="en-GB"/>
        </w:rPr>
        <w:t xml:space="preserve">Gaining knowledge on how member states interact with each other in these processes, how they argue their positions and how these processes change (socialize) member state officials and ultimately member </w:t>
      </w:r>
      <w:r w:rsidR="004048B3">
        <w:rPr>
          <w:lang w:val="en-GB"/>
        </w:rPr>
        <w:lastRenderedPageBreak/>
        <w:t xml:space="preserve">states themselves are important for understanding how the EU works. </w:t>
      </w:r>
      <w:r w:rsidR="0060060A">
        <w:rPr>
          <w:lang w:val="en-GB"/>
        </w:rPr>
        <w:t xml:space="preserve">Two-way dynamic processes are at play in the Council: the resulting rules, principles and interactions change the behaviour (and perhaps even identities) of member states, but also member states attempt to exert influence on EU policies, and project their own policy preferences to the Community level. Terminology associated with the literature on Europeanization captures these dynamics well, as it talks about ‘downloading’ from the EU level and ‘uploading’ to it. </w:t>
      </w:r>
      <w:r w:rsidR="004048B3">
        <w:rPr>
          <w:lang w:val="en-GB"/>
        </w:rPr>
        <w:t xml:space="preserve">The Council, including its preparatory committees (COREPER I and II) and network of thematic working groups offers a rich terrain for studying the influence of the EU on member states, and the </w:t>
      </w:r>
      <w:r w:rsidR="00434F4E">
        <w:rPr>
          <w:lang w:val="en-GB"/>
        </w:rPr>
        <w:t>influence</w:t>
      </w:r>
      <w:r w:rsidR="004048B3">
        <w:rPr>
          <w:lang w:val="en-GB"/>
        </w:rPr>
        <w:t xml:space="preserve"> that various countries have on EU outcomes.</w:t>
      </w:r>
    </w:p>
    <w:p w:rsidR="004048B3" w:rsidRDefault="004048B3" w:rsidP="00781441">
      <w:pPr>
        <w:spacing w:line="276" w:lineRule="auto"/>
        <w:rPr>
          <w:lang w:val="en-GB"/>
        </w:rPr>
      </w:pPr>
    </w:p>
    <w:p w:rsidR="004048B3" w:rsidRDefault="004048B3" w:rsidP="00781441">
      <w:pPr>
        <w:spacing w:line="276" w:lineRule="auto"/>
        <w:jc w:val="both"/>
        <w:rPr>
          <w:lang w:val="en-GB"/>
        </w:rPr>
      </w:pPr>
      <w:r>
        <w:rPr>
          <w:lang w:val="en-GB"/>
        </w:rPr>
        <w:t xml:space="preserve">The impact of the EU, as well as the impact </w:t>
      </w:r>
      <w:r w:rsidR="00434F4E">
        <w:rPr>
          <w:lang w:val="en-GB"/>
        </w:rPr>
        <w:t xml:space="preserve">of member states </w:t>
      </w:r>
      <w:r>
        <w:rPr>
          <w:lang w:val="en-GB"/>
        </w:rPr>
        <w:t xml:space="preserve">on the Community has been especially interesting in case of the Central and Eastern European </w:t>
      </w:r>
      <w:r w:rsidR="00434F4E">
        <w:rPr>
          <w:lang w:val="en-GB"/>
        </w:rPr>
        <w:t xml:space="preserve">(CEE) </w:t>
      </w:r>
      <w:r>
        <w:rPr>
          <w:lang w:val="en-GB"/>
        </w:rPr>
        <w:t xml:space="preserve">member states which joined in 2004 and 2007. </w:t>
      </w:r>
      <w:r w:rsidR="00787BDD">
        <w:rPr>
          <w:lang w:val="en-GB"/>
        </w:rPr>
        <w:t xml:space="preserve">There is clear evidence that the EU has had significant impacts on </w:t>
      </w:r>
      <w:r w:rsidR="00F37612">
        <w:rPr>
          <w:lang w:val="en-GB"/>
        </w:rPr>
        <w:t>these countries in terms of Europeanizing their political systems and various policies</w:t>
      </w:r>
      <w:r w:rsidR="00BD3276">
        <w:rPr>
          <w:lang w:val="en-GB"/>
        </w:rPr>
        <w:t xml:space="preserve"> (see </w:t>
      </w:r>
      <w:r w:rsidR="00BD3276" w:rsidRPr="00391F66">
        <w:t xml:space="preserve">Schimmelfennig </w:t>
      </w:r>
      <w:r w:rsidR="00952DB2">
        <w:t>and</w:t>
      </w:r>
      <w:r w:rsidR="00BD3276" w:rsidRPr="00391F66">
        <w:t xml:space="preserve"> Sedelmeier </w:t>
      </w:r>
      <w:r w:rsidR="00BD3276">
        <w:t>2005)</w:t>
      </w:r>
      <w:r w:rsidR="00F37612">
        <w:rPr>
          <w:lang w:val="en-GB"/>
        </w:rPr>
        <w:t xml:space="preserve">. But how much influence have the CEE countries been able to exert, and how have various EU policies changed due to enlargement? </w:t>
      </w:r>
      <w:r w:rsidR="00BD3276">
        <w:rPr>
          <w:lang w:val="en-GB"/>
        </w:rPr>
        <w:t xml:space="preserve">A number of </w:t>
      </w:r>
      <w:r w:rsidR="00F37612">
        <w:rPr>
          <w:lang w:val="en-GB"/>
        </w:rPr>
        <w:t xml:space="preserve">factors </w:t>
      </w:r>
      <w:r w:rsidR="00BD3276">
        <w:rPr>
          <w:lang w:val="en-GB"/>
        </w:rPr>
        <w:t xml:space="preserve">may have </w:t>
      </w:r>
      <w:r w:rsidR="00F37612">
        <w:rPr>
          <w:lang w:val="en-GB"/>
        </w:rPr>
        <w:t xml:space="preserve">predestined the CEE countries to relatively low influence for some time: they were new to the ‘Brussels game’ and had to learn the ropes, as well as build their confidence and administrative capacities for effective participation. </w:t>
      </w:r>
      <w:r w:rsidR="00B670D7">
        <w:rPr>
          <w:lang w:val="en-GB"/>
        </w:rPr>
        <w:t>T</w:t>
      </w:r>
      <w:r>
        <w:rPr>
          <w:lang w:val="en-GB"/>
        </w:rPr>
        <w:t xml:space="preserve">hey are (with the exception of Poland) relatively small </w:t>
      </w:r>
      <w:r w:rsidR="00B670D7">
        <w:rPr>
          <w:lang w:val="en-GB"/>
        </w:rPr>
        <w:t>and</w:t>
      </w:r>
      <w:r>
        <w:rPr>
          <w:lang w:val="en-GB"/>
        </w:rPr>
        <w:t xml:space="preserve"> mid-size countries</w:t>
      </w:r>
      <w:r w:rsidR="00B670D7">
        <w:rPr>
          <w:lang w:val="en-GB"/>
        </w:rPr>
        <w:t xml:space="preserve">, which </w:t>
      </w:r>
      <w:r w:rsidR="00A2410A">
        <w:rPr>
          <w:lang w:val="en-GB"/>
        </w:rPr>
        <w:t xml:space="preserve">weakens their chances of </w:t>
      </w:r>
      <w:r w:rsidR="00BD3276">
        <w:rPr>
          <w:lang w:val="en-GB"/>
        </w:rPr>
        <w:t>exerting</w:t>
      </w:r>
      <w:r w:rsidR="00B670D7">
        <w:rPr>
          <w:lang w:val="en-GB"/>
        </w:rPr>
        <w:t xml:space="preserve"> significant influence on policy outcomes unless the</w:t>
      </w:r>
      <w:r w:rsidR="00BD3276">
        <w:rPr>
          <w:lang w:val="en-GB"/>
        </w:rPr>
        <w:t>y</w:t>
      </w:r>
      <w:r w:rsidR="00B670D7">
        <w:rPr>
          <w:lang w:val="en-GB"/>
        </w:rPr>
        <w:t xml:space="preserve"> form coalitions.</w:t>
      </w:r>
    </w:p>
    <w:p w:rsidR="00571D8C" w:rsidRDefault="00571D8C" w:rsidP="00781441">
      <w:pPr>
        <w:spacing w:line="276" w:lineRule="auto"/>
        <w:rPr>
          <w:lang w:val="en-GB"/>
        </w:rPr>
      </w:pPr>
    </w:p>
    <w:p w:rsidR="002D0523" w:rsidRDefault="00571D8C" w:rsidP="002D0523">
      <w:pPr>
        <w:spacing w:line="276" w:lineRule="auto"/>
        <w:jc w:val="both"/>
        <w:rPr>
          <w:lang w:val="en-GB"/>
        </w:rPr>
      </w:pPr>
      <w:r>
        <w:rPr>
          <w:lang w:val="en-GB"/>
        </w:rPr>
        <w:t xml:space="preserve">This paper examines the case of </w:t>
      </w:r>
      <w:r w:rsidR="00BD3276">
        <w:rPr>
          <w:lang w:val="en-GB"/>
        </w:rPr>
        <w:t>CEE</w:t>
      </w:r>
      <w:r>
        <w:rPr>
          <w:lang w:val="en-GB"/>
        </w:rPr>
        <w:t xml:space="preserve"> influence </w:t>
      </w:r>
      <w:r w:rsidR="00B1391D">
        <w:rPr>
          <w:lang w:val="en-GB"/>
        </w:rPr>
        <w:t xml:space="preserve">(focusing primarily on the </w:t>
      </w:r>
      <w:proofErr w:type="spellStart"/>
      <w:r w:rsidR="00557534">
        <w:rPr>
          <w:lang w:val="en-GB"/>
        </w:rPr>
        <w:t>Visegrád</w:t>
      </w:r>
      <w:proofErr w:type="spellEnd"/>
      <w:r w:rsidR="00557534">
        <w:rPr>
          <w:lang w:val="en-GB"/>
        </w:rPr>
        <w:t xml:space="preserve"> s</w:t>
      </w:r>
      <w:r w:rsidR="008737A5">
        <w:rPr>
          <w:lang w:val="en-GB"/>
        </w:rPr>
        <w:t xml:space="preserve">tates of </w:t>
      </w:r>
      <w:r w:rsidR="00B1391D">
        <w:rPr>
          <w:lang w:val="en-GB"/>
        </w:rPr>
        <w:t xml:space="preserve">Czech Republic, Hungary, Poland and Slovakia) </w:t>
      </w:r>
      <w:r>
        <w:rPr>
          <w:lang w:val="en-GB"/>
        </w:rPr>
        <w:t>on the EU’s international development policy</w:t>
      </w:r>
      <w:r w:rsidR="00A2410A">
        <w:rPr>
          <w:lang w:val="en-GB"/>
        </w:rPr>
        <w:t>. This case of potential ‘</w:t>
      </w:r>
      <w:r w:rsidR="004048B3">
        <w:rPr>
          <w:lang w:val="en-GB"/>
        </w:rPr>
        <w:t>uploading</w:t>
      </w:r>
      <w:r w:rsidR="00A2410A">
        <w:rPr>
          <w:lang w:val="en-GB"/>
        </w:rPr>
        <w:t>’</w:t>
      </w:r>
      <w:r w:rsidR="00EB03FF">
        <w:rPr>
          <w:lang w:val="en-GB"/>
        </w:rPr>
        <w:t xml:space="preserve"> is interesting as i</w:t>
      </w:r>
      <w:r>
        <w:rPr>
          <w:lang w:val="en-GB"/>
        </w:rPr>
        <w:t xml:space="preserve">n general, development policy is a low salience issue for the </w:t>
      </w:r>
      <w:r w:rsidR="008737A5">
        <w:rPr>
          <w:lang w:val="en-GB"/>
        </w:rPr>
        <w:t>V4</w:t>
      </w:r>
      <w:r>
        <w:rPr>
          <w:lang w:val="en-GB"/>
        </w:rPr>
        <w:t xml:space="preserve"> member states</w:t>
      </w:r>
      <w:r w:rsidR="00A2410A">
        <w:rPr>
          <w:lang w:val="en-GB"/>
        </w:rPr>
        <w:t xml:space="preserve">. However, </w:t>
      </w:r>
      <w:r>
        <w:rPr>
          <w:lang w:val="en-GB"/>
        </w:rPr>
        <w:t xml:space="preserve">they have unanimously expressed a strong desire to alter the policy and make it build more on their </w:t>
      </w:r>
      <w:r w:rsidR="00BD3276">
        <w:rPr>
          <w:lang w:val="en-GB"/>
        </w:rPr>
        <w:t>‘</w:t>
      </w:r>
      <w:r>
        <w:rPr>
          <w:lang w:val="en-GB"/>
        </w:rPr>
        <w:t>transition experience</w:t>
      </w:r>
      <w:r w:rsidR="00BD3276">
        <w:rPr>
          <w:lang w:val="en-GB"/>
        </w:rPr>
        <w:t>’</w:t>
      </w:r>
      <w:r>
        <w:rPr>
          <w:lang w:val="en-GB"/>
        </w:rPr>
        <w:t>.</w:t>
      </w:r>
      <w:r w:rsidR="00EB03FF">
        <w:rPr>
          <w:lang w:val="en-GB"/>
        </w:rPr>
        <w:t xml:space="preserve"> Sharing experience from their political and economic transition </w:t>
      </w:r>
      <w:r w:rsidR="00BD3276">
        <w:rPr>
          <w:lang w:val="en-GB"/>
        </w:rPr>
        <w:t xml:space="preserve">and EU integration </w:t>
      </w:r>
      <w:r w:rsidR="00EB03FF">
        <w:rPr>
          <w:lang w:val="en-GB"/>
        </w:rPr>
        <w:t xml:space="preserve">processes with developing countries has emerged as the major ‘added value’ of the </w:t>
      </w:r>
      <w:r w:rsidR="008737A5">
        <w:rPr>
          <w:lang w:val="en-GB"/>
        </w:rPr>
        <w:t>V4</w:t>
      </w:r>
      <w:r w:rsidR="00EB03FF">
        <w:rPr>
          <w:lang w:val="en-GB"/>
        </w:rPr>
        <w:t xml:space="preserve"> countries in international development, and indeed it has even become the main constituting narrative of their donorship. </w:t>
      </w:r>
      <w:r w:rsidR="004048B3">
        <w:rPr>
          <w:lang w:val="en-GB"/>
        </w:rPr>
        <w:t xml:space="preserve">They have, in a rather unified manner, pushed the EU to make greater use of their transition experience in its </w:t>
      </w:r>
      <w:r w:rsidR="00BD3276">
        <w:rPr>
          <w:lang w:val="en-GB"/>
        </w:rPr>
        <w:t xml:space="preserve">common </w:t>
      </w:r>
      <w:r w:rsidR="004048B3">
        <w:rPr>
          <w:lang w:val="en-GB"/>
        </w:rPr>
        <w:t>development policy, and also its related external policies</w:t>
      </w:r>
      <w:r w:rsidR="00A2410A">
        <w:rPr>
          <w:lang w:val="en-GB"/>
        </w:rPr>
        <w:t>.</w:t>
      </w:r>
      <w:r w:rsidR="004048B3">
        <w:rPr>
          <w:lang w:val="en-GB"/>
        </w:rPr>
        <w:t xml:space="preserve"> </w:t>
      </w:r>
      <w:r w:rsidR="002D0523">
        <w:rPr>
          <w:lang w:val="en-GB"/>
        </w:rPr>
        <w:t xml:space="preserve">Undoubtedly, the CEE countries have had some degree of success in uploading their preference for transition experience to the EU’s development policy agenda, as evidenced most vividly by Council’s recent endorsement of a Commission communication on </w:t>
      </w:r>
      <w:r w:rsidR="002D0523" w:rsidRPr="002D1286">
        <w:rPr>
          <w:lang w:val="en-GB"/>
        </w:rPr>
        <w:t>Support for Sustainable Change in Transition Societies</w:t>
      </w:r>
      <w:r w:rsidR="002D0523">
        <w:rPr>
          <w:lang w:val="en-GB"/>
        </w:rPr>
        <w:t xml:space="preserve"> (European Commission 2012). However, while sharing transition experience with developing countries has clearly entered the EU’s rhetoric and strategy, the CEE countries seem to feel that there is still not much to show in terms of practical results. </w:t>
      </w:r>
    </w:p>
    <w:p w:rsidR="00A2410A" w:rsidRDefault="00A2410A" w:rsidP="00781441">
      <w:pPr>
        <w:spacing w:line="276" w:lineRule="auto"/>
        <w:jc w:val="both"/>
        <w:rPr>
          <w:lang w:val="en-GB"/>
        </w:rPr>
      </w:pPr>
    </w:p>
    <w:p w:rsidR="00BD3276" w:rsidRPr="00A6367A" w:rsidRDefault="00EB03FF" w:rsidP="00781441">
      <w:pPr>
        <w:spacing w:line="276" w:lineRule="auto"/>
        <w:jc w:val="both"/>
        <w:rPr>
          <w:lang w:val="en-GB"/>
        </w:rPr>
      </w:pPr>
      <w:r>
        <w:rPr>
          <w:lang w:val="en-GB"/>
        </w:rPr>
        <w:t xml:space="preserve">This paper therefore seeks to explain why </w:t>
      </w:r>
      <w:r w:rsidR="0060060A">
        <w:rPr>
          <w:lang w:val="en-GB"/>
        </w:rPr>
        <w:t xml:space="preserve">the </w:t>
      </w:r>
      <w:r w:rsidR="008737A5">
        <w:rPr>
          <w:lang w:val="en-GB"/>
        </w:rPr>
        <w:t>V4</w:t>
      </w:r>
      <w:r w:rsidR="0060060A">
        <w:rPr>
          <w:lang w:val="en-GB"/>
        </w:rPr>
        <w:t xml:space="preserve"> member states have not been able to achieve more in terms of influencing the common development policy.</w:t>
      </w:r>
      <w:r w:rsidR="00A2410A">
        <w:rPr>
          <w:lang w:val="en-GB"/>
        </w:rPr>
        <w:t xml:space="preserve"> </w:t>
      </w:r>
      <w:r w:rsidR="00373257" w:rsidRPr="00A6367A">
        <w:rPr>
          <w:lang w:val="en-GB"/>
        </w:rPr>
        <w:t xml:space="preserve">It </w:t>
      </w:r>
      <w:r w:rsidR="00A2410A">
        <w:rPr>
          <w:lang w:val="en-GB"/>
        </w:rPr>
        <w:t>a</w:t>
      </w:r>
      <w:r w:rsidR="00373257" w:rsidRPr="00A6367A">
        <w:rPr>
          <w:lang w:val="en-GB"/>
        </w:rPr>
        <w:t>rgue</w:t>
      </w:r>
      <w:r w:rsidR="00A2410A">
        <w:rPr>
          <w:lang w:val="en-GB"/>
        </w:rPr>
        <w:t>s</w:t>
      </w:r>
      <w:r w:rsidR="00373257" w:rsidRPr="00A6367A">
        <w:rPr>
          <w:lang w:val="en-GB"/>
        </w:rPr>
        <w:t xml:space="preserve"> that weak influence stems from several factors, including </w:t>
      </w:r>
      <w:r w:rsidR="00AD0D34" w:rsidRPr="00A6367A">
        <w:rPr>
          <w:lang w:val="en-GB"/>
        </w:rPr>
        <w:t xml:space="preserve">limited </w:t>
      </w:r>
      <w:r w:rsidR="00A6367A" w:rsidRPr="00A6367A">
        <w:rPr>
          <w:lang w:val="en-GB"/>
        </w:rPr>
        <w:t xml:space="preserve">skills in building alliances and low administrative capacities, but more importantly the low salience of development policy for the </w:t>
      </w:r>
      <w:r w:rsidR="008737A5">
        <w:rPr>
          <w:lang w:val="en-GB"/>
        </w:rPr>
        <w:lastRenderedPageBreak/>
        <w:t>V4</w:t>
      </w:r>
      <w:r w:rsidR="00A6367A" w:rsidRPr="00A6367A">
        <w:rPr>
          <w:lang w:val="en-GB"/>
        </w:rPr>
        <w:t xml:space="preserve"> countries and the fact that they have failed convince the other member</w:t>
      </w:r>
      <w:r w:rsidR="00A2410A">
        <w:rPr>
          <w:lang w:val="en-GB"/>
        </w:rPr>
        <w:t xml:space="preserve"> </w:t>
      </w:r>
      <w:r w:rsidR="00A6367A" w:rsidRPr="00A6367A">
        <w:rPr>
          <w:lang w:val="en-GB"/>
        </w:rPr>
        <w:t>s</w:t>
      </w:r>
      <w:r w:rsidR="00A2410A">
        <w:rPr>
          <w:lang w:val="en-GB"/>
        </w:rPr>
        <w:t>tates</w:t>
      </w:r>
      <w:r w:rsidR="00A6367A" w:rsidRPr="00A6367A">
        <w:rPr>
          <w:lang w:val="en-GB"/>
        </w:rPr>
        <w:t xml:space="preserve"> that integrating transition experience into the EU’s development policy is actually in the Community interest. </w:t>
      </w:r>
      <w:r w:rsidR="00373257" w:rsidRPr="00A6367A">
        <w:rPr>
          <w:lang w:val="en-GB"/>
        </w:rPr>
        <w:t xml:space="preserve">Thus, transition experience </w:t>
      </w:r>
      <w:r w:rsidR="00204E2D">
        <w:rPr>
          <w:lang w:val="en-GB"/>
        </w:rPr>
        <w:t xml:space="preserve">tends to be seen </w:t>
      </w:r>
      <w:r w:rsidR="00373257" w:rsidRPr="00A6367A">
        <w:rPr>
          <w:lang w:val="en-GB"/>
        </w:rPr>
        <w:t xml:space="preserve">as ‘the thing of the </w:t>
      </w:r>
      <w:r w:rsidR="008737A5">
        <w:rPr>
          <w:lang w:val="en-GB"/>
        </w:rPr>
        <w:t>V4</w:t>
      </w:r>
      <w:r w:rsidR="00373257" w:rsidRPr="00A6367A">
        <w:rPr>
          <w:lang w:val="en-GB"/>
        </w:rPr>
        <w:t xml:space="preserve"> countries’</w:t>
      </w:r>
      <w:r w:rsidR="001953BF" w:rsidRPr="00A6367A">
        <w:rPr>
          <w:lang w:val="en-GB"/>
        </w:rPr>
        <w:t xml:space="preserve"> </w:t>
      </w:r>
      <w:r w:rsidR="00204E2D">
        <w:rPr>
          <w:lang w:val="en-GB"/>
        </w:rPr>
        <w:t xml:space="preserve">and also as a potential threat to </w:t>
      </w:r>
      <w:r w:rsidR="00952DB2" w:rsidRPr="00A6367A">
        <w:rPr>
          <w:lang w:val="en-GB"/>
        </w:rPr>
        <w:t xml:space="preserve">current configuration of </w:t>
      </w:r>
      <w:r w:rsidR="00204E2D">
        <w:rPr>
          <w:lang w:val="en-GB"/>
        </w:rPr>
        <w:t>EU development policy</w:t>
      </w:r>
      <w:r w:rsidR="00A6367A" w:rsidRPr="00A6367A">
        <w:rPr>
          <w:lang w:val="en-GB"/>
        </w:rPr>
        <w:t xml:space="preserve"> in terms of aid allocation and aid effectiveness</w:t>
      </w:r>
      <w:r w:rsidR="00952DB2" w:rsidRPr="00A6367A">
        <w:rPr>
          <w:lang w:val="en-GB"/>
        </w:rPr>
        <w:t>.</w:t>
      </w:r>
    </w:p>
    <w:p w:rsidR="006128AC" w:rsidRDefault="006128AC" w:rsidP="00A6367A">
      <w:pPr>
        <w:spacing w:line="276" w:lineRule="auto"/>
        <w:jc w:val="both"/>
        <w:rPr>
          <w:lang w:val="en-GB"/>
        </w:rPr>
      </w:pPr>
    </w:p>
    <w:p w:rsidR="006128AC" w:rsidRPr="004B0C50" w:rsidRDefault="00571D8C" w:rsidP="00781441">
      <w:pPr>
        <w:spacing w:line="276" w:lineRule="auto"/>
        <w:jc w:val="both"/>
        <w:rPr>
          <w:lang w:val="en-GB"/>
        </w:rPr>
      </w:pPr>
      <w:r>
        <w:rPr>
          <w:lang w:val="en-GB"/>
        </w:rPr>
        <w:t xml:space="preserve">The paper is structured as follows: Section 2 reviews the literature on uploading and member state influence in the Council and presents the framework of the paper. Section 3 discusses the transition experience of the </w:t>
      </w:r>
      <w:r w:rsidR="008737A5">
        <w:rPr>
          <w:lang w:val="en-GB"/>
        </w:rPr>
        <w:t>V4</w:t>
      </w:r>
      <w:r>
        <w:rPr>
          <w:lang w:val="en-GB"/>
        </w:rPr>
        <w:t xml:space="preserve"> member states and argues that it has emerged as a constituting narrative for </w:t>
      </w:r>
      <w:r w:rsidR="008737A5">
        <w:rPr>
          <w:lang w:val="en-GB"/>
        </w:rPr>
        <w:t>V4</w:t>
      </w:r>
      <w:r>
        <w:rPr>
          <w:lang w:val="en-GB"/>
        </w:rPr>
        <w:t xml:space="preserve"> development policies. The following section </w:t>
      </w:r>
      <w:r w:rsidR="001953BF">
        <w:rPr>
          <w:lang w:val="en-GB"/>
        </w:rPr>
        <w:t xml:space="preserve">then </w:t>
      </w:r>
      <w:r>
        <w:rPr>
          <w:lang w:val="en-GB"/>
        </w:rPr>
        <w:t xml:space="preserve">illustrates the results that the </w:t>
      </w:r>
      <w:r w:rsidR="008737A5">
        <w:rPr>
          <w:lang w:val="en-GB"/>
        </w:rPr>
        <w:t>V4</w:t>
      </w:r>
      <w:r>
        <w:rPr>
          <w:lang w:val="en-GB"/>
        </w:rPr>
        <w:t xml:space="preserve"> countries have achieved in uploading this issue, and Section 5 explains why these results have been rather limited. Section 6 concludes the paper.</w:t>
      </w:r>
    </w:p>
    <w:p w:rsidR="0025799C" w:rsidRDefault="0025799C" w:rsidP="00781441">
      <w:pPr>
        <w:spacing w:line="276" w:lineRule="auto"/>
        <w:rPr>
          <w:lang w:val="en-GB"/>
        </w:rPr>
      </w:pPr>
    </w:p>
    <w:p w:rsidR="00952DB2" w:rsidRPr="004B0C50" w:rsidRDefault="00952DB2" w:rsidP="00781441">
      <w:pPr>
        <w:spacing w:line="276" w:lineRule="auto"/>
        <w:rPr>
          <w:lang w:val="en-GB"/>
        </w:rPr>
      </w:pPr>
    </w:p>
    <w:p w:rsidR="0025799C" w:rsidRPr="004B0C50" w:rsidRDefault="007E6FBE" w:rsidP="00781441">
      <w:pPr>
        <w:spacing w:line="276" w:lineRule="auto"/>
        <w:rPr>
          <w:b/>
          <w:lang w:val="en-GB"/>
        </w:rPr>
      </w:pPr>
      <w:r w:rsidRPr="004B0C50">
        <w:rPr>
          <w:b/>
          <w:lang w:val="en-GB"/>
        </w:rPr>
        <w:t xml:space="preserve">2. </w:t>
      </w:r>
      <w:r w:rsidR="00952DB2">
        <w:rPr>
          <w:b/>
          <w:lang w:val="en-GB"/>
        </w:rPr>
        <w:t>Power, influence and</w:t>
      </w:r>
      <w:r w:rsidR="0025799C" w:rsidRPr="004B0C50">
        <w:rPr>
          <w:b/>
          <w:lang w:val="en-GB"/>
        </w:rPr>
        <w:t xml:space="preserve"> uploading</w:t>
      </w:r>
      <w:r w:rsidR="00952DB2">
        <w:rPr>
          <w:b/>
          <w:lang w:val="en-GB"/>
        </w:rPr>
        <w:t xml:space="preserve"> policy preferences</w:t>
      </w:r>
    </w:p>
    <w:p w:rsidR="0025799C" w:rsidRPr="004B0C50" w:rsidRDefault="0025799C" w:rsidP="00781441">
      <w:pPr>
        <w:spacing w:line="276" w:lineRule="auto"/>
        <w:rPr>
          <w:lang w:val="en-GB"/>
        </w:rPr>
      </w:pPr>
    </w:p>
    <w:p w:rsidR="00FF598A" w:rsidRDefault="00171A8D" w:rsidP="00781441">
      <w:pPr>
        <w:spacing w:line="276" w:lineRule="auto"/>
        <w:jc w:val="both"/>
        <w:rPr>
          <w:lang w:val="en-GB"/>
        </w:rPr>
      </w:pPr>
      <w:r w:rsidRPr="004B0C50">
        <w:rPr>
          <w:lang w:val="en-GB"/>
        </w:rPr>
        <w:t>Europeanization</w:t>
      </w:r>
      <w:r w:rsidR="00625E41" w:rsidRPr="004B0C50">
        <w:rPr>
          <w:lang w:val="en-GB"/>
        </w:rPr>
        <w:t xml:space="preserve"> is often characterized as a two way </w:t>
      </w:r>
      <w:r w:rsidR="00952DB2">
        <w:rPr>
          <w:lang w:val="en-GB"/>
        </w:rPr>
        <w:t xml:space="preserve">dynamic </w:t>
      </w:r>
      <w:r w:rsidR="00625E41" w:rsidRPr="004B0C50">
        <w:rPr>
          <w:lang w:val="en-GB"/>
        </w:rPr>
        <w:t>process: policies of member states are not only influenced by the European level, but member states also attempt to project their own policy preferences on the Community’s agenda</w:t>
      </w:r>
      <w:r w:rsidR="00952DB2">
        <w:rPr>
          <w:lang w:val="en-GB"/>
        </w:rPr>
        <w:t xml:space="preserve"> (Börzel 2002)</w:t>
      </w:r>
      <w:r w:rsidR="00625E41" w:rsidRPr="004B0C50">
        <w:rPr>
          <w:lang w:val="en-GB"/>
        </w:rPr>
        <w:t xml:space="preserve">. </w:t>
      </w:r>
      <w:r w:rsidR="00FF598A">
        <w:rPr>
          <w:lang w:val="en-GB"/>
        </w:rPr>
        <w:t>This latter issue ties in with the literature on member state power and influence in dec</w:t>
      </w:r>
      <w:r w:rsidR="004E6D0D">
        <w:rPr>
          <w:lang w:val="en-GB"/>
        </w:rPr>
        <w:t>ision making in the EU Council</w:t>
      </w:r>
      <w:r w:rsidR="00204E2D">
        <w:rPr>
          <w:lang w:val="en-GB"/>
        </w:rPr>
        <w:t xml:space="preserve"> and the specific </w:t>
      </w:r>
      <w:r w:rsidR="00FF598A">
        <w:rPr>
          <w:lang w:val="en-GB"/>
        </w:rPr>
        <w:t xml:space="preserve">literature on the influence of </w:t>
      </w:r>
      <w:r w:rsidR="00310F64">
        <w:rPr>
          <w:lang w:val="en-GB"/>
        </w:rPr>
        <w:t>CEE</w:t>
      </w:r>
      <w:r w:rsidR="00FF598A">
        <w:rPr>
          <w:lang w:val="en-GB"/>
        </w:rPr>
        <w:t xml:space="preserve"> member states on various EU policies (</w:t>
      </w:r>
      <w:r w:rsidR="006B4700">
        <w:rPr>
          <w:lang w:val="en-GB"/>
        </w:rPr>
        <w:t xml:space="preserve">Dangerfield 2009; </w:t>
      </w:r>
      <w:proofErr w:type="spellStart"/>
      <w:r w:rsidR="00FF598A">
        <w:rPr>
          <w:lang w:val="en-GB"/>
        </w:rPr>
        <w:t>Copsey</w:t>
      </w:r>
      <w:proofErr w:type="spellEnd"/>
      <w:r w:rsidR="00FF598A">
        <w:rPr>
          <w:lang w:val="en-GB"/>
        </w:rPr>
        <w:t xml:space="preserve"> and </w:t>
      </w:r>
      <w:proofErr w:type="spellStart"/>
      <w:r w:rsidR="00FF598A">
        <w:rPr>
          <w:lang w:val="en-GB"/>
        </w:rPr>
        <w:t>Pomorska</w:t>
      </w:r>
      <w:proofErr w:type="spellEnd"/>
      <w:r w:rsidR="00FF598A">
        <w:rPr>
          <w:lang w:val="en-GB"/>
        </w:rPr>
        <w:t xml:space="preserve"> 2010</w:t>
      </w:r>
      <w:r w:rsidR="00E87430">
        <w:rPr>
          <w:lang w:val="en-GB"/>
        </w:rPr>
        <w:t xml:space="preserve">; </w:t>
      </w:r>
      <w:proofErr w:type="spellStart"/>
      <w:r w:rsidR="00ED6C36" w:rsidRPr="00ED6C36">
        <w:rPr>
          <w:lang w:val="en-GB"/>
        </w:rPr>
        <w:t>Rybář</w:t>
      </w:r>
      <w:proofErr w:type="spellEnd"/>
      <w:r w:rsidR="006B4700">
        <w:rPr>
          <w:lang w:val="en-GB"/>
        </w:rPr>
        <w:t xml:space="preserve"> 201</w:t>
      </w:r>
      <w:r w:rsidR="00FF598A">
        <w:rPr>
          <w:lang w:val="en-GB"/>
        </w:rPr>
        <w:t>)</w:t>
      </w:r>
      <w:r w:rsidR="00204E2D">
        <w:rPr>
          <w:lang w:val="en-GB"/>
        </w:rPr>
        <w:t>. Thus far</w:t>
      </w:r>
      <w:r w:rsidR="00FF598A">
        <w:rPr>
          <w:lang w:val="en-GB"/>
        </w:rPr>
        <w:t xml:space="preserve"> very little has been written on development policy. </w:t>
      </w:r>
      <w:r w:rsidR="00FF598A" w:rsidRPr="004B0C50">
        <w:rPr>
          <w:lang w:val="en-GB"/>
        </w:rPr>
        <w:t xml:space="preserve">Interestingly, most of the research investigating the interplay between CEE international development policies and the EU’s development </w:t>
      </w:r>
      <w:r w:rsidR="00FF598A">
        <w:rPr>
          <w:lang w:val="en-GB"/>
        </w:rPr>
        <w:t xml:space="preserve">policy </w:t>
      </w:r>
      <w:r w:rsidR="00FF598A" w:rsidRPr="004B0C50">
        <w:rPr>
          <w:lang w:val="en-GB"/>
        </w:rPr>
        <w:t xml:space="preserve">has tended to focus exclusively on downloading, and conceptualized the EU </w:t>
      </w:r>
      <w:r w:rsidR="00FF598A" w:rsidRPr="00310F64">
        <w:rPr>
          <w:i/>
          <w:lang w:val="en-GB"/>
        </w:rPr>
        <w:t>acquis</w:t>
      </w:r>
      <w:r w:rsidR="00FF598A" w:rsidRPr="004B0C50">
        <w:rPr>
          <w:lang w:val="en-GB"/>
        </w:rPr>
        <w:t xml:space="preserve"> as an unchanging source of influence on member states (</w:t>
      </w:r>
      <w:r w:rsidR="00FF598A">
        <w:rPr>
          <w:lang w:val="en-GB"/>
        </w:rPr>
        <w:t>Hork</w:t>
      </w:r>
      <w:r w:rsidR="00310F64" w:rsidRPr="00DD0430">
        <w:rPr>
          <w:iCs/>
          <w:lang w:val="en-GB"/>
        </w:rPr>
        <w:t>ý</w:t>
      </w:r>
      <w:r w:rsidR="00FF598A">
        <w:rPr>
          <w:lang w:val="en-GB"/>
        </w:rPr>
        <w:t xml:space="preserve"> 201</w:t>
      </w:r>
      <w:r w:rsidR="00310F64">
        <w:rPr>
          <w:lang w:val="en-GB"/>
        </w:rPr>
        <w:t>2a</w:t>
      </w:r>
      <w:r w:rsidR="00FF598A">
        <w:rPr>
          <w:lang w:val="en-GB"/>
        </w:rPr>
        <w:t xml:space="preserve">; </w:t>
      </w:r>
      <w:r w:rsidR="00FF598A" w:rsidRPr="004B0C50">
        <w:rPr>
          <w:lang w:val="en-GB"/>
        </w:rPr>
        <w:t xml:space="preserve">Lightfoot and Szent-Iványi </w:t>
      </w:r>
      <w:r w:rsidR="00FF598A">
        <w:rPr>
          <w:lang w:val="en-GB"/>
        </w:rPr>
        <w:t>2014</w:t>
      </w:r>
      <w:r w:rsidR="00FF598A" w:rsidRPr="004B0C50">
        <w:rPr>
          <w:lang w:val="en-GB"/>
        </w:rPr>
        <w:t xml:space="preserve">). </w:t>
      </w:r>
      <w:r w:rsidR="00FF598A">
        <w:rPr>
          <w:lang w:val="en-GB"/>
        </w:rPr>
        <w:t xml:space="preserve">These papers argue that while the EU played some role in restarting </w:t>
      </w:r>
      <w:r w:rsidR="00275C4C">
        <w:rPr>
          <w:lang w:val="en-GB"/>
        </w:rPr>
        <w:t xml:space="preserve">international </w:t>
      </w:r>
      <w:r w:rsidR="00FF598A">
        <w:rPr>
          <w:lang w:val="en-GB"/>
        </w:rPr>
        <w:t xml:space="preserve">development policies in </w:t>
      </w:r>
      <w:r w:rsidR="00275C4C">
        <w:rPr>
          <w:lang w:val="en-GB"/>
        </w:rPr>
        <w:t xml:space="preserve">the </w:t>
      </w:r>
      <w:r w:rsidR="00FF598A">
        <w:rPr>
          <w:lang w:val="en-GB"/>
        </w:rPr>
        <w:t xml:space="preserve">CEE </w:t>
      </w:r>
      <w:r w:rsidR="00275C4C">
        <w:rPr>
          <w:lang w:val="en-GB"/>
        </w:rPr>
        <w:t xml:space="preserve">countries </w:t>
      </w:r>
      <w:r w:rsidR="00FF598A">
        <w:rPr>
          <w:lang w:val="en-GB"/>
        </w:rPr>
        <w:t>after the turn of the Millennium, it has had little impact since in terms of approximating the practices on the</w:t>
      </w:r>
      <w:r w:rsidR="00275C4C">
        <w:rPr>
          <w:lang w:val="en-GB"/>
        </w:rPr>
        <w:t xml:space="preserve">se countries </w:t>
      </w:r>
      <w:r w:rsidR="00FF598A">
        <w:rPr>
          <w:lang w:val="en-GB"/>
        </w:rPr>
        <w:t xml:space="preserve">to the principles embodied in the </w:t>
      </w:r>
      <w:r w:rsidR="00FF598A" w:rsidRPr="00275C4C">
        <w:rPr>
          <w:i/>
          <w:lang w:val="en-GB"/>
        </w:rPr>
        <w:t>acquis</w:t>
      </w:r>
      <w:r w:rsidR="00FF598A">
        <w:rPr>
          <w:lang w:val="en-GB"/>
        </w:rPr>
        <w:t>. Hork</w:t>
      </w:r>
      <w:r w:rsidR="00275C4C" w:rsidRPr="00DD0430">
        <w:rPr>
          <w:iCs/>
          <w:lang w:val="en-GB"/>
        </w:rPr>
        <w:t>ý</w:t>
      </w:r>
      <w:r w:rsidR="00275C4C">
        <w:rPr>
          <w:iCs/>
          <w:lang w:val="en-GB"/>
        </w:rPr>
        <w:t xml:space="preserve"> (2012a)</w:t>
      </w:r>
      <w:r w:rsidR="00FF598A">
        <w:rPr>
          <w:lang w:val="en-GB"/>
        </w:rPr>
        <w:t xml:space="preserve"> has termed the resulting configuration ‘shallow’ Europeanization, while Lightfoot and Szent-Iványi </w:t>
      </w:r>
      <w:r w:rsidR="00275C4C">
        <w:rPr>
          <w:lang w:val="en-GB"/>
        </w:rPr>
        <w:t xml:space="preserve">(2014) </w:t>
      </w:r>
      <w:r w:rsidR="00FF598A">
        <w:rPr>
          <w:lang w:val="en-GB"/>
        </w:rPr>
        <w:t>talk about the ‘reluctance’ the new donors have shown in Europeanizing their international development policies.</w:t>
      </w:r>
    </w:p>
    <w:p w:rsidR="00FF598A" w:rsidRDefault="00FF598A" w:rsidP="00781441">
      <w:pPr>
        <w:spacing w:line="276" w:lineRule="auto"/>
        <w:rPr>
          <w:lang w:val="en-GB"/>
        </w:rPr>
      </w:pPr>
    </w:p>
    <w:p w:rsidR="007D5AE6" w:rsidRDefault="00204E2D" w:rsidP="00781441">
      <w:pPr>
        <w:spacing w:line="276" w:lineRule="auto"/>
        <w:jc w:val="both"/>
        <w:rPr>
          <w:lang w:val="en-GB"/>
        </w:rPr>
      </w:pPr>
      <w:r>
        <w:rPr>
          <w:lang w:val="en-GB"/>
        </w:rPr>
        <w:t xml:space="preserve">The </w:t>
      </w:r>
      <w:r w:rsidR="00FF598A" w:rsidRPr="004B0C50">
        <w:rPr>
          <w:lang w:val="en-GB"/>
        </w:rPr>
        <w:t xml:space="preserve">influence of the </w:t>
      </w:r>
      <w:r w:rsidR="00275C4C">
        <w:rPr>
          <w:lang w:val="en-GB"/>
        </w:rPr>
        <w:t>CEE states</w:t>
      </w:r>
      <w:r w:rsidR="00FF598A" w:rsidRPr="004B0C50">
        <w:rPr>
          <w:lang w:val="en-GB"/>
        </w:rPr>
        <w:t xml:space="preserve"> on EU development policy has received very little attention</w:t>
      </w:r>
      <w:r w:rsidR="005D2ECF">
        <w:rPr>
          <w:lang w:val="en-GB"/>
        </w:rPr>
        <w:t xml:space="preserve">. We situate development policy within the broad context of EU external relations, </w:t>
      </w:r>
      <w:r w:rsidR="00625320">
        <w:rPr>
          <w:lang w:val="en-GB"/>
        </w:rPr>
        <w:t xml:space="preserve">where there have been a few studies (see </w:t>
      </w:r>
      <w:r w:rsidR="00275C4C" w:rsidRPr="00035397">
        <w:rPr>
          <w:lang w:val="en-US"/>
        </w:rPr>
        <w:t>Bilčík</w:t>
      </w:r>
      <w:r w:rsidR="00625320">
        <w:rPr>
          <w:lang w:val="en-GB"/>
        </w:rPr>
        <w:t xml:space="preserve"> 2010</w:t>
      </w:r>
      <w:r w:rsidR="00ED6C36">
        <w:rPr>
          <w:lang w:val="en-GB"/>
        </w:rPr>
        <w:t>;</w:t>
      </w:r>
      <w:r w:rsidR="00275C4C">
        <w:rPr>
          <w:lang w:val="en-GB"/>
        </w:rPr>
        <w:t xml:space="preserve"> </w:t>
      </w:r>
      <w:proofErr w:type="spellStart"/>
      <w:r w:rsidR="00ED6C36">
        <w:rPr>
          <w:lang w:val="en-GB"/>
        </w:rPr>
        <w:t>Marton</w:t>
      </w:r>
      <w:proofErr w:type="spellEnd"/>
      <w:r w:rsidR="00ED6C36">
        <w:rPr>
          <w:lang w:val="en-GB"/>
        </w:rPr>
        <w:t xml:space="preserve"> 2012; </w:t>
      </w:r>
      <w:proofErr w:type="spellStart"/>
      <w:r w:rsidR="00275C4C">
        <w:rPr>
          <w:lang w:val="en-GB"/>
        </w:rPr>
        <w:t>Baun</w:t>
      </w:r>
      <w:proofErr w:type="spellEnd"/>
      <w:r w:rsidR="00275C4C">
        <w:rPr>
          <w:lang w:val="en-GB"/>
        </w:rPr>
        <w:t xml:space="preserve"> and Marek</w:t>
      </w:r>
      <w:r w:rsidR="00625320">
        <w:rPr>
          <w:lang w:val="en-GB"/>
        </w:rPr>
        <w:t xml:space="preserve"> 2013). </w:t>
      </w:r>
      <w:r w:rsidR="00B076C6" w:rsidRPr="00B076C6">
        <w:rPr>
          <w:lang w:val="en-GB"/>
        </w:rPr>
        <w:t>The paper defines influence as ‘the modification of one or several actors’ behaviour, beliefs or preferences by acts of another actor exerted for the purpose of reaching the latter</w:t>
      </w:r>
      <w:r w:rsidR="00B076C6">
        <w:rPr>
          <w:lang w:val="en-GB"/>
        </w:rPr>
        <w:t xml:space="preserve"> </w:t>
      </w:r>
      <w:r w:rsidR="00275C4C">
        <w:rPr>
          <w:lang w:val="en-GB"/>
        </w:rPr>
        <w:t>actor’s aims’ (</w:t>
      </w:r>
      <w:proofErr w:type="spellStart"/>
      <w:r w:rsidR="00B076C6" w:rsidRPr="00B076C6">
        <w:rPr>
          <w:lang w:val="en-GB"/>
        </w:rPr>
        <w:t>Schunz</w:t>
      </w:r>
      <w:proofErr w:type="spellEnd"/>
      <w:r w:rsidR="00B076C6" w:rsidRPr="00B076C6">
        <w:rPr>
          <w:lang w:val="en-GB"/>
        </w:rPr>
        <w:t xml:space="preserve"> 2010).</w:t>
      </w:r>
      <w:r w:rsidR="00B076C6">
        <w:rPr>
          <w:lang w:val="en-GB"/>
        </w:rPr>
        <w:t xml:space="preserve"> </w:t>
      </w:r>
      <w:r w:rsidR="00FF598A">
        <w:rPr>
          <w:lang w:val="en-GB"/>
        </w:rPr>
        <w:t xml:space="preserve">The literature on member state power and influence has produced a long list of </w:t>
      </w:r>
      <w:r w:rsidR="00E87430">
        <w:rPr>
          <w:lang w:val="en-GB"/>
        </w:rPr>
        <w:t>variables that make influence from a member state more likely</w:t>
      </w:r>
      <w:r w:rsidR="00670828">
        <w:rPr>
          <w:lang w:val="en-GB"/>
        </w:rPr>
        <w:t xml:space="preserve">. We adapt the framework used by </w:t>
      </w:r>
      <w:r w:rsidR="00E87430">
        <w:rPr>
          <w:lang w:val="en-GB"/>
        </w:rPr>
        <w:t xml:space="preserve">Copsey and Pomorska </w:t>
      </w:r>
      <w:r w:rsidR="00670828">
        <w:rPr>
          <w:lang w:val="en-GB"/>
        </w:rPr>
        <w:t>(</w:t>
      </w:r>
      <w:r w:rsidR="00E87430">
        <w:rPr>
          <w:lang w:val="en-GB"/>
        </w:rPr>
        <w:t>2010</w:t>
      </w:r>
      <w:r w:rsidR="00670828">
        <w:rPr>
          <w:lang w:val="en-GB"/>
        </w:rPr>
        <w:t xml:space="preserve">) to understand the influence of Poland in the case of the EU’s Eastern policy. </w:t>
      </w:r>
      <w:r w:rsidR="007D5AE6">
        <w:rPr>
          <w:lang w:val="en-GB"/>
        </w:rPr>
        <w:t xml:space="preserve">This framework is suitable for </w:t>
      </w:r>
      <w:r w:rsidR="00275C4C">
        <w:rPr>
          <w:lang w:val="en-GB"/>
        </w:rPr>
        <w:t>this</w:t>
      </w:r>
      <w:r w:rsidR="007D5AE6">
        <w:rPr>
          <w:lang w:val="en-GB"/>
        </w:rPr>
        <w:t xml:space="preserve"> paper for several reasons. For one, it is synthesis itself of previous approaches to understanding member state influence. Second, it was specifically developed to understand the influence of a </w:t>
      </w:r>
      <w:r w:rsidR="00E72F59">
        <w:rPr>
          <w:lang w:val="en-GB"/>
        </w:rPr>
        <w:t xml:space="preserve">CEE </w:t>
      </w:r>
      <w:r w:rsidR="007D5AE6">
        <w:rPr>
          <w:lang w:val="en-GB"/>
        </w:rPr>
        <w:t xml:space="preserve">new member state in </w:t>
      </w:r>
      <w:r w:rsidR="007D5AE6">
        <w:rPr>
          <w:lang w:val="en-GB"/>
        </w:rPr>
        <w:lastRenderedPageBreak/>
        <w:t xml:space="preserve">external relations policies. As we focus on the </w:t>
      </w:r>
      <w:r w:rsidR="008737A5">
        <w:rPr>
          <w:lang w:val="en-GB"/>
        </w:rPr>
        <w:t>V4</w:t>
      </w:r>
      <w:r w:rsidR="007D5AE6">
        <w:rPr>
          <w:lang w:val="en-GB"/>
        </w:rPr>
        <w:t xml:space="preserve"> </w:t>
      </w:r>
      <w:r w:rsidR="00E72F59">
        <w:rPr>
          <w:lang w:val="en-GB"/>
        </w:rPr>
        <w:t>states</w:t>
      </w:r>
      <w:r w:rsidR="007D5AE6">
        <w:rPr>
          <w:lang w:val="en-GB"/>
        </w:rPr>
        <w:t xml:space="preserve"> </w:t>
      </w:r>
      <w:r w:rsidR="007D5AE6" w:rsidRPr="00E72F59">
        <w:rPr>
          <w:i/>
          <w:lang w:val="en-GB"/>
        </w:rPr>
        <w:t>as a group</w:t>
      </w:r>
      <w:r w:rsidR="007D5AE6">
        <w:rPr>
          <w:lang w:val="en-GB"/>
        </w:rPr>
        <w:t xml:space="preserve">, we </w:t>
      </w:r>
      <w:r w:rsidR="00E72F59">
        <w:rPr>
          <w:lang w:val="en-GB"/>
        </w:rPr>
        <w:t>adopt</w:t>
      </w:r>
      <w:r w:rsidR="007D5AE6">
        <w:rPr>
          <w:lang w:val="en-GB"/>
        </w:rPr>
        <w:t xml:space="preserve"> </w:t>
      </w:r>
      <w:r w:rsidR="00E72F59">
        <w:rPr>
          <w:lang w:val="en-GB"/>
        </w:rPr>
        <w:t xml:space="preserve">the following </w:t>
      </w:r>
      <w:r w:rsidR="007D5AE6">
        <w:rPr>
          <w:lang w:val="en-GB"/>
        </w:rPr>
        <w:t xml:space="preserve">five of the variable factors </w:t>
      </w:r>
      <w:r w:rsidR="000A6CB6">
        <w:rPr>
          <w:lang w:val="en-GB"/>
        </w:rPr>
        <w:t>i</w:t>
      </w:r>
      <w:r w:rsidR="005C669E">
        <w:rPr>
          <w:lang w:val="en-GB"/>
        </w:rPr>
        <w:t>dentified</w:t>
      </w:r>
      <w:r w:rsidR="00E72F59">
        <w:rPr>
          <w:lang w:val="en-GB"/>
        </w:rPr>
        <w:t xml:space="preserve"> by </w:t>
      </w:r>
      <w:proofErr w:type="spellStart"/>
      <w:r w:rsidR="00E72F59">
        <w:rPr>
          <w:lang w:val="en-GB"/>
        </w:rPr>
        <w:t>Copsey</w:t>
      </w:r>
      <w:proofErr w:type="spellEnd"/>
      <w:r w:rsidR="00E72F59">
        <w:rPr>
          <w:lang w:val="en-GB"/>
        </w:rPr>
        <w:t xml:space="preserve"> and </w:t>
      </w:r>
      <w:proofErr w:type="spellStart"/>
      <w:r w:rsidR="00E72F59">
        <w:rPr>
          <w:lang w:val="en-GB"/>
        </w:rPr>
        <w:t>Pomorska</w:t>
      </w:r>
      <w:proofErr w:type="spellEnd"/>
      <w:r w:rsidR="009761BC">
        <w:rPr>
          <w:rStyle w:val="FootnoteReference"/>
          <w:lang w:val="en-GB"/>
        </w:rPr>
        <w:footnoteReference w:id="2"/>
      </w:r>
      <w:r w:rsidR="00E72F59">
        <w:rPr>
          <w:lang w:val="en-GB"/>
        </w:rPr>
        <w:t>:</w:t>
      </w:r>
    </w:p>
    <w:p w:rsidR="00E72F59" w:rsidRDefault="00E72F59" w:rsidP="00781441">
      <w:pPr>
        <w:spacing w:line="276" w:lineRule="auto"/>
        <w:jc w:val="both"/>
        <w:rPr>
          <w:lang w:val="en-GB"/>
        </w:rPr>
      </w:pPr>
    </w:p>
    <w:p w:rsidR="007C5492" w:rsidRDefault="00E87430" w:rsidP="00781441">
      <w:pPr>
        <w:pStyle w:val="ListParagraph"/>
        <w:numPr>
          <w:ilvl w:val="0"/>
          <w:numId w:val="12"/>
        </w:numPr>
        <w:spacing w:line="276" w:lineRule="auto"/>
        <w:jc w:val="both"/>
        <w:rPr>
          <w:lang w:val="en-GB"/>
        </w:rPr>
      </w:pPr>
      <w:r w:rsidRPr="00E72F59">
        <w:rPr>
          <w:i/>
          <w:lang w:val="en-GB"/>
        </w:rPr>
        <w:t>Intensity of policy preferences</w:t>
      </w:r>
      <w:r w:rsidR="00E72F59">
        <w:rPr>
          <w:i/>
          <w:lang w:val="en-GB"/>
        </w:rPr>
        <w:t>.</w:t>
      </w:r>
      <w:r w:rsidRPr="007C5492">
        <w:rPr>
          <w:lang w:val="en-GB"/>
        </w:rPr>
        <w:t xml:space="preserve"> What weight do the new member states place on international development policy? </w:t>
      </w:r>
    </w:p>
    <w:p w:rsidR="00E87430" w:rsidRPr="007C5492" w:rsidRDefault="00E87430" w:rsidP="00781441">
      <w:pPr>
        <w:pStyle w:val="ListParagraph"/>
        <w:numPr>
          <w:ilvl w:val="0"/>
          <w:numId w:val="12"/>
        </w:numPr>
        <w:spacing w:line="276" w:lineRule="auto"/>
        <w:jc w:val="both"/>
        <w:rPr>
          <w:lang w:val="en-GB"/>
        </w:rPr>
      </w:pPr>
      <w:r w:rsidRPr="00E72F59">
        <w:rPr>
          <w:i/>
          <w:lang w:val="en-GB"/>
        </w:rPr>
        <w:t>Skills at all</w:t>
      </w:r>
      <w:r w:rsidR="00E72F59" w:rsidRPr="00E72F59">
        <w:rPr>
          <w:i/>
          <w:lang w:val="en-GB"/>
        </w:rPr>
        <w:t>iance building and bargaining.</w:t>
      </w:r>
      <w:r w:rsidR="00E72F59">
        <w:rPr>
          <w:lang w:val="en-GB"/>
        </w:rPr>
        <w:t xml:space="preserve"> T</w:t>
      </w:r>
      <w:r w:rsidRPr="007C5492">
        <w:rPr>
          <w:lang w:val="en-GB"/>
        </w:rPr>
        <w:t xml:space="preserve">he ability of a member state (or a group of </w:t>
      </w:r>
      <w:r w:rsidR="00E72F59">
        <w:rPr>
          <w:lang w:val="en-GB"/>
        </w:rPr>
        <w:t>member states</w:t>
      </w:r>
      <w:r w:rsidRPr="007C5492">
        <w:rPr>
          <w:lang w:val="en-GB"/>
        </w:rPr>
        <w:t xml:space="preserve">) to </w:t>
      </w:r>
      <w:r w:rsidR="00E72F59">
        <w:rPr>
          <w:lang w:val="en-GB"/>
        </w:rPr>
        <w:t xml:space="preserve">rally others to support their </w:t>
      </w:r>
      <w:r w:rsidRPr="007C5492">
        <w:rPr>
          <w:lang w:val="en-GB"/>
        </w:rPr>
        <w:t>preferred policy option.</w:t>
      </w:r>
    </w:p>
    <w:p w:rsidR="00E87430" w:rsidRDefault="00E87430" w:rsidP="00781441">
      <w:pPr>
        <w:pStyle w:val="ListParagraph"/>
        <w:numPr>
          <w:ilvl w:val="0"/>
          <w:numId w:val="12"/>
        </w:numPr>
        <w:spacing w:line="276" w:lineRule="auto"/>
        <w:jc w:val="both"/>
        <w:rPr>
          <w:lang w:val="en-GB"/>
        </w:rPr>
      </w:pPr>
      <w:r w:rsidRPr="00E72F59">
        <w:rPr>
          <w:i/>
          <w:lang w:val="en-GB"/>
        </w:rPr>
        <w:t>Capacities</w:t>
      </w:r>
      <w:r w:rsidR="00E72F59">
        <w:rPr>
          <w:lang w:val="en-GB"/>
        </w:rPr>
        <w:t>,</w:t>
      </w:r>
      <w:r w:rsidR="00670828">
        <w:rPr>
          <w:lang w:val="en-GB"/>
        </w:rPr>
        <w:t xml:space="preserve"> including </w:t>
      </w:r>
      <w:r w:rsidR="00E72F59">
        <w:rPr>
          <w:lang w:val="en-GB"/>
        </w:rPr>
        <w:t xml:space="preserve">the availability of </w:t>
      </w:r>
      <w:r w:rsidR="00670828">
        <w:rPr>
          <w:lang w:val="en-GB"/>
        </w:rPr>
        <w:t>skilful dip</w:t>
      </w:r>
      <w:r w:rsidR="00E72F59">
        <w:rPr>
          <w:lang w:val="en-GB"/>
        </w:rPr>
        <w:t>lomats, a clear policy position and</w:t>
      </w:r>
      <w:r w:rsidR="00670828">
        <w:rPr>
          <w:lang w:val="en-GB"/>
        </w:rPr>
        <w:t xml:space="preserve"> instructions from the capital</w:t>
      </w:r>
      <w:r w:rsidR="00E72F59">
        <w:rPr>
          <w:lang w:val="en-GB"/>
        </w:rPr>
        <w:t>.</w:t>
      </w:r>
    </w:p>
    <w:p w:rsidR="00670828" w:rsidRDefault="00670828" w:rsidP="00781441">
      <w:pPr>
        <w:pStyle w:val="ListParagraph"/>
        <w:numPr>
          <w:ilvl w:val="0"/>
          <w:numId w:val="12"/>
        </w:numPr>
        <w:spacing w:line="276" w:lineRule="auto"/>
        <w:jc w:val="both"/>
        <w:rPr>
          <w:lang w:val="en-GB"/>
        </w:rPr>
      </w:pPr>
      <w:r>
        <w:rPr>
          <w:lang w:val="en-GB"/>
        </w:rPr>
        <w:t xml:space="preserve">The ability to argue that a given policy proposal is actually in the </w:t>
      </w:r>
      <w:r w:rsidRPr="00E72F59">
        <w:rPr>
          <w:i/>
          <w:lang w:val="en-GB"/>
        </w:rPr>
        <w:t>Community interest</w:t>
      </w:r>
      <w:r>
        <w:rPr>
          <w:lang w:val="en-GB"/>
        </w:rPr>
        <w:t>, and not just an attempt to upload national interests</w:t>
      </w:r>
      <w:r w:rsidR="00E72F59">
        <w:rPr>
          <w:lang w:val="en-GB"/>
        </w:rPr>
        <w:t>.</w:t>
      </w:r>
    </w:p>
    <w:p w:rsidR="00670828" w:rsidRPr="00E87430" w:rsidRDefault="00670828" w:rsidP="00781441">
      <w:pPr>
        <w:pStyle w:val="ListParagraph"/>
        <w:numPr>
          <w:ilvl w:val="0"/>
          <w:numId w:val="12"/>
        </w:numPr>
        <w:spacing w:line="276" w:lineRule="auto"/>
        <w:jc w:val="both"/>
        <w:rPr>
          <w:lang w:val="en-GB"/>
        </w:rPr>
      </w:pPr>
      <w:r w:rsidRPr="00E72F59">
        <w:rPr>
          <w:i/>
          <w:lang w:val="en-GB"/>
        </w:rPr>
        <w:t>Recep</w:t>
      </w:r>
      <w:r w:rsidR="007D5AE6" w:rsidRPr="00E72F59">
        <w:rPr>
          <w:i/>
          <w:lang w:val="en-GB"/>
        </w:rPr>
        <w:t>tiveness</w:t>
      </w:r>
      <w:r w:rsidR="007D5AE6">
        <w:rPr>
          <w:lang w:val="en-GB"/>
        </w:rPr>
        <w:t xml:space="preserve"> of other member states, which depends primarily on their own policy preferences in the area.</w:t>
      </w:r>
    </w:p>
    <w:p w:rsidR="00FF598A" w:rsidRDefault="00FF598A" w:rsidP="00781441">
      <w:pPr>
        <w:spacing w:line="276" w:lineRule="auto"/>
        <w:rPr>
          <w:lang w:val="en-GB"/>
        </w:rPr>
      </w:pPr>
    </w:p>
    <w:p w:rsidR="007D5AE6" w:rsidRDefault="007D5AE6" w:rsidP="00781441">
      <w:pPr>
        <w:spacing w:line="276" w:lineRule="auto"/>
        <w:jc w:val="both"/>
        <w:rPr>
          <w:lang w:val="en-GB"/>
        </w:rPr>
      </w:pPr>
      <w:r>
        <w:rPr>
          <w:lang w:val="en-GB"/>
        </w:rPr>
        <w:t xml:space="preserve">As the main source of data, the paper relies on </w:t>
      </w:r>
      <w:r w:rsidR="00B67BCC">
        <w:rPr>
          <w:lang w:val="en-GB"/>
        </w:rPr>
        <w:t>31</w:t>
      </w:r>
      <w:r>
        <w:rPr>
          <w:lang w:val="en-GB"/>
        </w:rPr>
        <w:t xml:space="preserve"> </w:t>
      </w:r>
      <w:r w:rsidRPr="005258FF">
        <w:rPr>
          <w:lang w:val="en-US"/>
        </w:rPr>
        <w:t xml:space="preserve">interviews carried out </w:t>
      </w:r>
      <w:r>
        <w:rPr>
          <w:lang w:val="en-US"/>
        </w:rPr>
        <w:t xml:space="preserve">between </w:t>
      </w:r>
      <w:r w:rsidRPr="005258FF">
        <w:rPr>
          <w:lang w:val="en-US"/>
        </w:rPr>
        <w:t xml:space="preserve">2008 and </w:t>
      </w:r>
      <w:r>
        <w:rPr>
          <w:lang w:val="en-US"/>
        </w:rPr>
        <w:t>201</w:t>
      </w:r>
      <w:r w:rsidRPr="005258FF">
        <w:rPr>
          <w:lang w:val="en-US"/>
        </w:rPr>
        <w:t>3</w:t>
      </w:r>
      <w:r>
        <w:rPr>
          <w:lang w:val="en-US"/>
        </w:rPr>
        <w:t xml:space="preserve"> with development diplomats at the </w:t>
      </w:r>
      <w:r w:rsidRPr="005258FF">
        <w:rPr>
          <w:lang w:val="en-US"/>
        </w:rPr>
        <w:t>permanent representations to the EU</w:t>
      </w:r>
      <w:r>
        <w:rPr>
          <w:lang w:val="en-US"/>
        </w:rPr>
        <w:t xml:space="preserve"> and in the national capitals, from both old and CEE member states</w:t>
      </w:r>
      <w:r w:rsidRPr="005258FF">
        <w:rPr>
          <w:lang w:val="en-US"/>
        </w:rPr>
        <w:t>.</w:t>
      </w:r>
      <w:r>
        <w:rPr>
          <w:lang w:val="en-US"/>
        </w:rPr>
        <w:t xml:space="preserve"> </w:t>
      </w:r>
      <w:r w:rsidR="009C6093" w:rsidRPr="004B0C50">
        <w:rPr>
          <w:lang w:val="en-GB"/>
        </w:rPr>
        <w:t xml:space="preserve">Decisions of the EU’s development policy are formally made by the Council, but issues are usually already decided in </w:t>
      </w:r>
      <w:r w:rsidR="00037813">
        <w:rPr>
          <w:lang w:val="en-GB"/>
        </w:rPr>
        <w:t xml:space="preserve">the </w:t>
      </w:r>
      <w:r w:rsidR="009C6093" w:rsidRPr="004B0C50">
        <w:rPr>
          <w:lang w:val="en-GB"/>
        </w:rPr>
        <w:t>Council Working Group on Development</w:t>
      </w:r>
      <w:r w:rsidR="00037813">
        <w:rPr>
          <w:lang w:val="en-GB"/>
        </w:rPr>
        <w:t xml:space="preserve"> (</w:t>
      </w:r>
      <w:r w:rsidR="00037813" w:rsidRPr="004B0C50">
        <w:rPr>
          <w:lang w:val="en-GB"/>
        </w:rPr>
        <w:t>CODEV</w:t>
      </w:r>
      <w:r w:rsidR="009C6093" w:rsidRPr="004B0C50">
        <w:rPr>
          <w:lang w:val="en-GB"/>
        </w:rPr>
        <w:t xml:space="preserve">), which prepares the development-related agenda of the Committee of Permanent Representatives (COREPER). Thus, the technical expertise and negotiating capacities of the NMS are mainly important in the CODEV setting. </w:t>
      </w:r>
      <w:r>
        <w:rPr>
          <w:lang w:val="en-US"/>
        </w:rPr>
        <w:t xml:space="preserve">A number of EU officials from the </w:t>
      </w:r>
      <w:r w:rsidR="0087661F">
        <w:rPr>
          <w:lang w:val="en-US"/>
        </w:rPr>
        <w:t xml:space="preserve">European </w:t>
      </w:r>
      <w:r w:rsidRPr="005258FF">
        <w:rPr>
          <w:lang w:val="en-US"/>
        </w:rPr>
        <w:t>Commission</w:t>
      </w:r>
      <w:r w:rsidR="0087661F">
        <w:rPr>
          <w:lang w:val="en-US"/>
        </w:rPr>
        <w:t xml:space="preserve"> (EC)</w:t>
      </w:r>
      <w:r w:rsidRPr="005258FF">
        <w:rPr>
          <w:lang w:val="en-US"/>
        </w:rPr>
        <w:t>, the Council Secretariat and the European External Action Service</w:t>
      </w:r>
      <w:r w:rsidR="00B67BCC">
        <w:rPr>
          <w:lang w:val="en-US"/>
        </w:rPr>
        <w:t xml:space="preserve"> were also interviewed. D</w:t>
      </w:r>
      <w:r w:rsidR="00B67BCC" w:rsidRPr="005258FF">
        <w:rPr>
          <w:lang w:val="en-US"/>
        </w:rPr>
        <w:t>ue to reasons of confidentiality</w:t>
      </w:r>
      <w:r w:rsidR="00B67BCC">
        <w:rPr>
          <w:lang w:val="en-US"/>
        </w:rPr>
        <w:t>, t</w:t>
      </w:r>
      <w:r w:rsidRPr="005258FF">
        <w:rPr>
          <w:lang w:val="en-US"/>
        </w:rPr>
        <w:t xml:space="preserve">he interviewees remain anonymous. </w:t>
      </w:r>
      <w:r w:rsidR="00B67BCC">
        <w:rPr>
          <w:lang w:val="en-US"/>
        </w:rPr>
        <w:t xml:space="preserve">Other data sources included official and legal documents from the </w:t>
      </w:r>
      <w:r w:rsidR="008737A5">
        <w:rPr>
          <w:lang w:val="en-US"/>
        </w:rPr>
        <w:t>V4</w:t>
      </w:r>
      <w:r w:rsidRPr="005258FF">
        <w:rPr>
          <w:lang w:val="en-US"/>
        </w:rPr>
        <w:t xml:space="preserve"> countries on development strategies, as well as evaluations </w:t>
      </w:r>
      <w:r>
        <w:rPr>
          <w:lang w:val="en-US"/>
        </w:rPr>
        <w:t xml:space="preserve">carried out </w:t>
      </w:r>
      <w:r w:rsidRPr="005258FF">
        <w:rPr>
          <w:lang w:val="en-US"/>
        </w:rPr>
        <w:t>by the OECD</w:t>
      </w:r>
      <w:r w:rsidR="00037813">
        <w:rPr>
          <w:lang w:val="en-US"/>
        </w:rPr>
        <w:t>’s</w:t>
      </w:r>
      <w:r w:rsidRPr="005258FF">
        <w:rPr>
          <w:lang w:val="en-US"/>
        </w:rPr>
        <w:t xml:space="preserve"> D</w:t>
      </w:r>
      <w:r w:rsidR="00037813">
        <w:rPr>
          <w:lang w:val="en-US"/>
        </w:rPr>
        <w:t xml:space="preserve">evelopment Assistance </w:t>
      </w:r>
      <w:r w:rsidRPr="005258FF">
        <w:rPr>
          <w:lang w:val="en-US"/>
        </w:rPr>
        <w:t>C</w:t>
      </w:r>
      <w:r w:rsidR="00037813">
        <w:rPr>
          <w:lang w:val="en-US"/>
        </w:rPr>
        <w:t>ommittee (DAC)</w:t>
      </w:r>
      <w:r w:rsidRPr="005258FF">
        <w:rPr>
          <w:lang w:val="en-US"/>
        </w:rPr>
        <w:t xml:space="preserve"> and national </w:t>
      </w:r>
      <w:r w:rsidR="00B67BCC">
        <w:rPr>
          <w:lang w:val="en-US"/>
        </w:rPr>
        <w:t>watchdog NG</w:t>
      </w:r>
      <w:r w:rsidRPr="005258FF">
        <w:rPr>
          <w:lang w:val="en-US"/>
        </w:rPr>
        <w:t>O</w:t>
      </w:r>
      <w:r w:rsidR="00B67BCC">
        <w:rPr>
          <w:lang w:val="en-US"/>
        </w:rPr>
        <w:t>s.</w:t>
      </w:r>
    </w:p>
    <w:p w:rsidR="007D5AE6" w:rsidRPr="004B0C50" w:rsidRDefault="007D5AE6" w:rsidP="00781441">
      <w:pPr>
        <w:spacing w:line="276" w:lineRule="auto"/>
        <w:rPr>
          <w:lang w:val="en-GB"/>
        </w:rPr>
      </w:pPr>
    </w:p>
    <w:p w:rsidR="005913AF" w:rsidRPr="004B0C50" w:rsidRDefault="005913AF" w:rsidP="00781441">
      <w:pPr>
        <w:spacing w:line="276" w:lineRule="auto"/>
        <w:rPr>
          <w:lang w:val="en-GB"/>
        </w:rPr>
      </w:pPr>
    </w:p>
    <w:p w:rsidR="00B54FB6" w:rsidRPr="004B0C50" w:rsidRDefault="00551A6A" w:rsidP="00781441">
      <w:pPr>
        <w:spacing w:line="276" w:lineRule="auto"/>
        <w:rPr>
          <w:b/>
          <w:lang w:val="en-GB"/>
        </w:rPr>
      </w:pPr>
      <w:r w:rsidRPr="004B0C50">
        <w:rPr>
          <w:b/>
          <w:lang w:val="en-GB"/>
        </w:rPr>
        <w:t xml:space="preserve">3. </w:t>
      </w:r>
      <w:r w:rsidR="00870EA7" w:rsidRPr="004B0C50">
        <w:rPr>
          <w:b/>
          <w:lang w:val="en-GB"/>
        </w:rPr>
        <w:t>T</w:t>
      </w:r>
      <w:r w:rsidR="005913AF" w:rsidRPr="004B0C50">
        <w:rPr>
          <w:b/>
          <w:lang w:val="en-GB"/>
        </w:rPr>
        <w:t>ransition experience</w:t>
      </w:r>
      <w:r w:rsidR="00870EA7" w:rsidRPr="004B0C50">
        <w:rPr>
          <w:b/>
          <w:lang w:val="en-GB"/>
        </w:rPr>
        <w:t xml:space="preserve"> – narrative, importance and problems</w:t>
      </w:r>
    </w:p>
    <w:p w:rsidR="005913AF" w:rsidRPr="004B0C50" w:rsidRDefault="005913AF" w:rsidP="00781441">
      <w:pPr>
        <w:spacing w:line="276" w:lineRule="auto"/>
        <w:rPr>
          <w:lang w:val="en-GB"/>
        </w:rPr>
      </w:pPr>
    </w:p>
    <w:p w:rsidR="002141F9" w:rsidRPr="004B0C50" w:rsidRDefault="005913AF" w:rsidP="00781441">
      <w:pPr>
        <w:spacing w:line="276" w:lineRule="auto"/>
        <w:jc w:val="both"/>
        <w:rPr>
          <w:lang w:val="en-GB"/>
        </w:rPr>
      </w:pPr>
      <w:r w:rsidRPr="004B0C50">
        <w:rPr>
          <w:lang w:val="en-GB"/>
        </w:rPr>
        <w:t xml:space="preserve">The </w:t>
      </w:r>
      <w:r w:rsidR="008737A5">
        <w:rPr>
          <w:lang w:val="en-GB"/>
        </w:rPr>
        <w:t>V4</w:t>
      </w:r>
      <w:r w:rsidRPr="004B0C50">
        <w:rPr>
          <w:lang w:val="en-GB"/>
        </w:rPr>
        <w:t xml:space="preserve"> countries have been placing a large rhetorical emphasis on their ‘comparative advantage’ in international development policy</w:t>
      </w:r>
      <w:r w:rsidR="00EE02AA" w:rsidRPr="004B0C50">
        <w:rPr>
          <w:lang w:val="en-GB"/>
        </w:rPr>
        <w:t>, as compared to other donors</w:t>
      </w:r>
      <w:r w:rsidRPr="004B0C50">
        <w:rPr>
          <w:lang w:val="en-GB"/>
        </w:rPr>
        <w:t>. The European Union has been incr</w:t>
      </w:r>
      <w:r w:rsidR="00EE02AA" w:rsidRPr="004B0C50">
        <w:rPr>
          <w:lang w:val="en-GB"/>
        </w:rPr>
        <w:t>easingly pushing donors to specialize in the name of concepts like the complementarity and the division of labour</w:t>
      </w:r>
      <w:r w:rsidR="00C361C8">
        <w:rPr>
          <w:lang w:val="en-GB"/>
        </w:rPr>
        <w:t xml:space="preserve"> (European Commission 2007)</w:t>
      </w:r>
      <w:r w:rsidR="00EE02AA" w:rsidRPr="004B0C50">
        <w:rPr>
          <w:lang w:val="en-GB"/>
        </w:rPr>
        <w:t xml:space="preserve">. Seemingly, no other EU donors have taken this more seriously than the </w:t>
      </w:r>
      <w:r w:rsidR="008737A5">
        <w:rPr>
          <w:lang w:val="en-GB"/>
        </w:rPr>
        <w:t>V4</w:t>
      </w:r>
      <w:r w:rsidR="00EE02AA" w:rsidRPr="004B0C50">
        <w:rPr>
          <w:lang w:val="en-GB"/>
        </w:rPr>
        <w:t xml:space="preserve"> states. There is a sense that the </w:t>
      </w:r>
      <w:r w:rsidR="008737A5">
        <w:rPr>
          <w:lang w:val="en-GB"/>
        </w:rPr>
        <w:t>V4</w:t>
      </w:r>
      <w:r w:rsidR="00EE02AA" w:rsidRPr="004B0C50">
        <w:rPr>
          <w:lang w:val="en-GB"/>
        </w:rPr>
        <w:t xml:space="preserve"> countries need to justify their added value as donors, </w:t>
      </w:r>
      <w:r w:rsidR="00816159" w:rsidRPr="004B0C50">
        <w:rPr>
          <w:lang w:val="en-GB"/>
        </w:rPr>
        <w:t>especially since</w:t>
      </w:r>
      <w:r w:rsidR="00EE02AA" w:rsidRPr="004B0C50">
        <w:rPr>
          <w:lang w:val="en-GB"/>
        </w:rPr>
        <w:t xml:space="preserve"> they have much less experience in dealing with developing countries than the more established donors. </w:t>
      </w:r>
      <w:r w:rsidR="00DC7074">
        <w:rPr>
          <w:lang w:val="en-GB"/>
        </w:rPr>
        <w:t>For many states, their size restricts their ability to contribute to all areas of development and thus they are looking ‘</w:t>
      </w:r>
      <w:r w:rsidR="00DC7074" w:rsidRPr="00AC3D97">
        <w:rPr>
          <w:lang w:val="en-GB"/>
        </w:rPr>
        <w:t>for a niche</w:t>
      </w:r>
      <w:r w:rsidR="00DC7074">
        <w:rPr>
          <w:lang w:val="en-GB"/>
        </w:rPr>
        <w:t>’</w:t>
      </w:r>
      <w:r w:rsidR="00DC7074" w:rsidRPr="00AC3D97">
        <w:rPr>
          <w:lang w:val="en-GB"/>
        </w:rPr>
        <w:t xml:space="preserve"> where </w:t>
      </w:r>
      <w:r w:rsidR="00DC7074">
        <w:rPr>
          <w:lang w:val="en-GB"/>
        </w:rPr>
        <w:t>they ‘</w:t>
      </w:r>
      <w:r w:rsidR="00DC7074" w:rsidRPr="00AC3D97">
        <w:rPr>
          <w:lang w:val="en-GB"/>
        </w:rPr>
        <w:t xml:space="preserve">could make a specialised and visible </w:t>
      </w:r>
      <w:r w:rsidR="00DC7074">
        <w:rPr>
          <w:lang w:val="en-GB"/>
        </w:rPr>
        <w:t>imprint on the EU policies’ (</w:t>
      </w:r>
      <w:r w:rsidR="00DC7074" w:rsidRPr="00AC3D97">
        <w:rPr>
          <w:lang w:val="en-GB"/>
        </w:rPr>
        <w:t>Najšlová</w:t>
      </w:r>
      <w:r w:rsidR="00DC7074">
        <w:rPr>
          <w:lang w:val="en-GB"/>
        </w:rPr>
        <w:t xml:space="preserve"> 2013).</w:t>
      </w:r>
    </w:p>
    <w:p w:rsidR="002141F9" w:rsidRPr="004B0C50" w:rsidRDefault="002141F9" w:rsidP="00781441">
      <w:pPr>
        <w:spacing w:line="276" w:lineRule="auto"/>
        <w:rPr>
          <w:lang w:val="en-GB"/>
        </w:rPr>
      </w:pPr>
    </w:p>
    <w:p w:rsidR="002141F9" w:rsidRPr="004B0C50" w:rsidRDefault="00EE02AA" w:rsidP="00781441">
      <w:pPr>
        <w:spacing w:line="276" w:lineRule="auto"/>
        <w:jc w:val="both"/>
        <w:rPr>
          <w:lang w:val="en-GB"/>
        </w:rPr>
      </w:pPr>
      <w:r w:rsidRPr="004B0C50">
        <w:rPr>
          <w:lang w:val="en-GB"/>
        </w:rPr>
        <w:lastRenderedPageBreak/>
        <w:t xml:space="preserve">The narrative of transition experience </w:t>
      </w:r>
      <w:r w:rsidR="00816159" w:rsidRPr="004B0C50">
        <w:rPr>
          <w:lang w:val="en-GB"/>
        </w:rPr>
        <w:t xml:space="preserve">most likely </w:t>
      </w:r>
      <w:r w:rsidRPr="004B0C50">
        <w:rPr>
          <w:lang w:val="en-GB"/>
        </w:rPr>
        <w:t>arose from th</w:t>
      </w:r>
      <w:r w:rsidR="00DC7074">
        <w:rPr>
          <w:lang w:val="en-GB"/>
        </w:rPr>
        <w:t>ese</w:t>
      </w:r>
      <w:r w:rsidRPr="004B0C50">
        <w:rPr>
          <w:lang w:val="en-GB"/>
        </w:rPr>
        <w:t xml:space="preserve"> need</w:t>
      </w:r>
      <w:r w:rsidR="00DC7074">
        <w:rPr>
          <w:lang w:val="en-GB"/>
        </w:rPr>
        <w:t>s</w:t>
      </w:r>
      <w:r w:rsidRPr="004B0C50">
        <w:rPr>
          <w:lang w:val="en-GB"/>
        </w:rPr>
        <w:t xml:space="preserve">. According to this narrative, the </w:t>
      </w:r>
      <w:r w:rsidR="008737A5">
        <w:rPr>
          <w:lang w:val="en-GB"/>
        </w:rPr>
        <w:t>V4</w:t>
      </w:r>
      <w:r w:rsidRPr="004B0C50">
        <w:rPr>
          <w:lang w:val="en-GB"/>
        </w:rPr>
        <w:t xml:space="preserve"> countries have undergone a spectacular and generally successful process of transition between 1989 and 2004: (1) transition from </w:t>
      </w:r>
      <w:r w:rsidR="00DC7074">
        <w:rPr>
          <w:lang w:val="en-GB"/>
        </w:rPr>
        <w:t>authoritarian</w:t>
      </w:r>
      <w:r w:rsidRPr="004B0C50">
        <w:rPr>
          <w:lang w:val="en-GB"/>
        </w:rPr>
        <w:t xml:space="preserve"> political regimes to full-fledged dem</w:t>
      </w:r>
      <w:r w:rsidR="00DC7074">
        <w:rPr>
          <w:lang w:val="en-GB"/>
        </w:rPr>
        <w:t>ocracies; (2) transition from centrally planned economies to market economie</w:t>
      </w:r>
      <w:r w:rsidRPr="004B0C50">
        <w:rPr>
          <w:lang w:val="en-GB"/>
        </w:rPr>
        <w:t xml:space="preserve">s; and (3) integration of these new polities and economies into the structures of the European Union. This process of transformation and integration required the countries to undertake reforms in basically all areas of economic, social and political life, </w:t>
      </w:r>
      <w:r w:rsidR="00CB4739" w:rsidRPr="004B0C50">
        <w:rPr>
          <w:lang w:val="en-GB"/>
        </w:rPr>
        <w:t>including the organization of free and fair elections, the construction of checks and balances, judicial reform, macroeconomic stabilization, liberalization, the privatization of state assets, and the ad</w:t>
      </w:r>
      <w:r w:rsidR="00DC7074">
        <w:rPr>
          <w:lang w:val="en-GB"/>
        </w:rPr>
        <w:t>o</w:t>
      </w:r>
      <w:r w:rsidR="00CB4739" w:rsidRPr="004B0C50">
        <w:rPr>
          <w:lang w:val="en-GB"/>
        </w:rPr>
        <w:t xml:space="preserve">ption of the EU </w:t>
      </w:r>
      <w:r w:rsidR="00CB4739" w:rsidRPr="004B0C50">
        <w:rPr>
          <w:i/>
          <w:lang w:val="en-GB"/>
        </w:rPr>
        <w:t>acquis</w:t>
      </w:r>
      <w:r w:rsidR="00CB4739" w:rsidRPr="004B0C50">
        <w:rPr>
          <w:lang w:val="en-GB"/>
        </w:rPr>
        <w:t>. Some reforms were more successful than others, and different countries experimented with different solutions</w:t>
      </w:r>
      <w:r w:rsidR="007B0A53" w:rsidRPr="004B0C50">
        <w:rPr>
          <w:lang w:val="en-GB"/>
        </w:rPr>
        <w:t xml:space="preserve"> (Soós 2011)</w:t>
      </w:r>
      <w:r w:rsidR="002141F9" w:rsidRPr="004B0C50">
        <w:rPr>
          <w:lang w:val="en-GB"/>
        </w:rPr>
        <w:t>. Regardl</w:t>
      </w:r>
      <w:r w:rsidR="008737A5">
        <w:rPr>
          <w:lang w:val="en-GB"/>
        </w:rPr>
        <w:t>ess of the methods chosen, the V4</w:t>
      </w:r>
      <w:r w:rsidR="002141F9" w:rsidRPr="004B0C50">
        <w:rPr>
          <w:lang w:val="en-GB"/>
        </w:rPr>
        <w:t xml:space="preserve"> countries have </w:t>
      </w:r>
      <w:r w:rsidR="007B0A53" w:rsidRPr="004B0C50">
        <w:rPr>
          <w:lang w:val="en-GB"/>
        </w:rPr>
        <w:t xml:space="preserve">generally </w:t>
      </w:r>
      <w:r w:rsidR="002141F9" w:rsidRPr="004B0C50">
        <w:rPr>
          <w:lang w:val="en-GB"/>
        </w:rPr>
        <w:t xml:space="preserve">been successful in realigning their polities and economies, which was acknowledged by the West through admission to the </w:t>
      </w:r>
      <w:r w:rsidR="00DC7074">
        <w:rPr>
          <w:lang w:val="en-GB"/>
        </w:rPr>
        <w:t>EU</w:t>
      </w:r>
      <w:r w:rsidR="002141F9" w:rsidRPr="004B0C50">
        <w:rPr>
          <w:lang w:val="en-GB"/>
        </w:rPr>
        <w:t>.</w:t>
      </w:r>
    </w:p>
    <w:p w:rsidR="002141F9" w:rsidRPr="004B0C50" w:rsidRDefault="002141F9" w:rsidP="00781441">
      <w:pPr>
        <w:spacing w:line="276" w:lineRule="auto"/>
        <w:rPr>
          <w:lang w:val="en-GB"/>
        </w:rPr>
      </w:pPr>
    </w:p>
    <w:p w:rsidR="00CB4739" w:rsidRPr="004B0C50" w:rsidRDefault="002141F9" w:rsidP="00781441">
      <w:pPr>
        <w:spacing w:line="276" w:lineRule="auto"/>
        <w:jc w:val="both"/>
        <w:rPr>
          <w:lang w:val="en-GB"/>
        </w:rPr>
      </w:pPr>
      <w:r w:rsidRPr="004B0C50">
        <w:rPr>
          <w:lang w:val="en-GB"/>
        </w:rPr>
        <w:t xml:space="preserve">During this 15 year reform process, the </w:t>
      </w:r>
      <w:r w:rsidR="008737A5">
        <w:rPr>
          <w:lang w:val="en-GB"/>
        </w:rPr>
        <w:t>V4</w:t>
      </w:r>
      <w:r w:rsidR="004E7DAE" w:rsidRPr="004B0C50">
        <w:rPr>
          <w:lang w:val="en-GB"/>
        </w:rPr>
        <w:t xml:space="preserve"> </w:t>
      </w:r>
      <w:r w:rsidRPr="004B0C50">
        <w:rPr>
          <w:lang w:val="en-GB"/>
        </w:rPr>
        <w:t>countries</w:t>
      </w:r>
      <w:r w:rsidR="00204E2D">
        <w:rPr>
          <w:lang w:val="en-GB"/>
        </w:rPr>
        <w:t xml:space="preserve"> argue that they</w:t>
      </w:r>
      <w:r w:rsidRPr="004B0C50">
        <w:rPr>
          <w:lang w:val="en-GB"/>
        </w:rPr>
        <w:t xml:space="preserve"> have accumulated </w:t>
      </w:r>
      <w:r w:rsidR="004E7DAE" w:rsidRPr="004B0C50">
        <w:rPr>
          <w:lang w:val="en-GB"/>
        </w:rPr>
        <w:t>a vast amount of knowledge on how to carry out reforms and how to approximate national legislation to the</w:t>
      </w:r>
      <w:r w:rsidR="007B0A53" w:rsidRPr="004B0C50">
        <w:rPr>
          <w:lang w:val="en-GB"/>
        </w:rPr>
        <w:t xml:space="preserve"> </w:t>
      </w:r>
      <w:r w:rsidR="004E7DAE" w:rsidRPr="004B0C50">
        <w:rPr>
          <w:i/>
          <w:lang w:val="en-GB"/>
        </w:rPr>
        <w:t>acquis</w:t>
      </w:r>
      <w:r w:rsidR="004E7DAE" w:rsidRPr="004B0C50">
        <w:rPr>
          <w:lang w:val="en-GB"/>
        </w:rPr>
        <w:t xml:space="preserve">. This huge body of knowledge has been termed </w:t>
      </w:r>
      <w:r w:rsidR="007B0A53" w:rsidRPr="004B0C50">
        <w:rPr>
          <w:lang w:val="en-GB"/>
        </w:rPr>
        <w:t>‘</w:t>
      </w:r>
      <w:r w:rsidR="004E7DAE" w:rsidRPr="004B0C50">
        <w:rPr>
          <w:lang w:val="en-GB"/>
        </w:rPr>
        <w:t>transition experience</w:t>
      </w:r>
      <w:r w:rsidR="007B0A53" w:rsidRPr="004B0C50">
        <w:rPr>
          <w:lang w:val="en-GB"/>
        </w:rPr>
        <w:t>’</w:t>
      </w:r>
      <w:r w:rsidR="004E7DAE" w:rsidRPr="004B0C50">
        <w:rPr>
          <w:lang w:val="en-GB"/>
        </w:rPr>
        <w:t xml:space="preserve">, and it seemed </w:t>
      </w:r>
      <w:r w:rsidR="007B0A53" w:rsidRPr="004B0C50">
        <w:rPr>
          <w:lang w:val="en-GB"/>
        </w:rPr>
        <w:t>a</w:t>
      </w:r>
      <w:r w:rsidR="004E7DAE" w:rsidRPr="004B0C50">
        <w:rPr>
          <w:lang w:val="en-GB"/>
        </w:rPr>
        <w:t xml:space="preserve"> viable candidate for a source of added value in international development for two reasons: first, it was rather unique to the region in a sense </w:t>
      </w:r>
      <w:r w:rsidR="007B0A53" w:rsidRPr="004B0C50">
        <w:rPr>
          <w:lang w:val="en-GB"/>
        </w:rPr>
        <w:t xml:space="preserve">that </w:t>
      </w:r>
      <w:r w:rsidR="004E7DAE" w:rsidRPr="004B0C50">
        <w:rPr>
          <w:lang w:val="en-GB"/>
        </w:rPr>
        <w:t xml:space="preserve">the rapid transformation and integration of </w:t>
      </w:r>
      <w:r w:rsidR="008737A5">
        <w:rPr>
          <w:lang w:val="en-GB"/>
        </w:rPr>
        <w:t>V4</w:t>
      </w:r>
      <w:r w:rsidR="004E7DAE" w:rsidRPr="004B0C50">
        <w:rPr>
          <w:lang w:val="en-GB"/>
        </w:rPr>
        <w:t xml:space="preserve"> had been unprecedented historically, and second, because a large number of </w:t>
      </w:r>
      <w:r w:rsidR="007B0A53" w:rsidRPr="004B0C50">
        <w:rPr>
          <w:lang w:val="en-GB"/>
        </w:rPr>
        <w:t xml:space="preserve">less </w:t>
      </w:r>
      <w:r w:rsidR="004E7DAE" w:rsidRPr="004B0C50">
        <w:rPr>
          <w:lang w:val="en-GB"/>
        </w:rPr>
        <w:t>develop</w:t>
      </w:r>
      <w:r w:rsidR="007B0A53" w:rsidRPr="004B0C50">
        <w:rPr>
          <w:lang w:val="en-GB"/>
        </w:rPr>
        <w:t>ed</w:t>
      </w:r>
      <w:r w:rsidR="004E7DAE" w:rsidRPr="004B0C50">
        <w:rPr>
          <w:lang w:val="en-GB"/>
        </w:rPr>
        <w:t xml:space="preserve"> countries, mainly in the EU’s Eastern and Southern neighbourhood, were also coping with political and economic transformation processes of their own, in most cases perhaps less successfully than the </w:t>
      </w:r>
      <w:r w:rsidR="008737A5">
        <w:rPr>
          <w:lang w:val="en-GB"/>
        </w:rPr>
        <w:t>V4</w:t>
      </w:r>
      <w:r w:rsidR="004E7DAE" w:rsidRPr="004B0C50">
        <w:rPr>
          <w:lang w:val="en-GB"/>
        </w:rPr>
        <w:t xml:space="preserve"> countries. </w:t>
      </w:r>
      <w:r w:rsidR="001E4AAA" w:rsidRPr="004B0C50">
        <w:rPr>
          <w:lang w:val="en-GB"/>
        </w:rPr>
        <w:t xml:space="preserve">According to the narrative, sharing </w:t>
      </w:r>
      <w:r w:rsidR="008737A5">
        <w:rPr>
          <w:lang w:val="en-GB"/>
        </w:rPr>
        <w:t>V4</w:t>
      </w:r>
      <w:r w:rsidR="001E4AAA" w:rsidRPr="004B0C50">
        <w:rPr>
          <w:lang w:val="en-GB"/>
        </w:rPr>
        <w:t xml:space="preserve"> transition experience with these regions can assist their reform processes and can catalyze their approximation </w:t>
      </w:r>
      <w:r w:rsidR="007B0A53" w:rsidRPr="004B0C50">
        <w:rPr>
          <w:lang w:val="en-GB"/>
        </w:rPr>
        <w:t xml:space="preserve">to </w:t>
      </w:r>
      <w:r w:rsidR="001E4AAA" w:rsidRPr="004B0C50">
        <w:rPr>
          <w:lang w:val="en-GB"/>
        </w:rPr>
        <w:t xml:space="preserve">and association </w:t>
      </w:r>
      <w:r w:rsidR="007B0A53" w:rsidRPr="004B0C50">
        <w:rPr>
          <w:lang w:val="en-GB"/>
        </w:rPr>
        <w:t xml:space="preserve">with the EU, </w:t>
      </w:r>
      <w:r w:rsidR="001E4AAA" w:rsidRPr="004B0C50">
        <w:rPr>
          <w:lang w:val="en-GB"/>
        </w:rPr>
        <w:t xml:space="preserve">whatever form it would </w:t>
      </w:r>
      <w:r w:rsidR="007B0A53" w:rsidRPr="004B0C50">
        <w:rPr>
          <w:lang w:val="en-GB"/>
        </w:rPr>
        <w:t>eventually take.</w:t>
      </w:r>
    </w:p>
    <w:p w:rsidR="00CB4739" w:rsidRPr="004B0C50" w:rsidRDefault="00CB4739" w:rsidP="00781441">
      <w:pPr>
        <w:spacing w:line="276" w:lineRule="auto"/>
        <w:rPr>
          <w:lang w:val="en-GB"/>
        </w:rPr>
      </w:pPr>
    </w:p>
    <w:p w:rsidR="001E4AAA" w:rsidRPr="004B0C50" w:rsidRDefault="001E4AAA" w:rsidP="00781441">
      <w:pPr>
        <w:spacing w:line="276" w:lineRule="auto"/>
        <w:jc w:val="both"/>
        <w:rPr>
          <w:lang w:val="en-GB"/>
        </w:rPr>
      </w:pPr>
      <w:r w:rsidRPr="004B0C50">
        <w:rPr>
          <w:lang w:val="en-GB"/>
        </w:rPr>
        <w:t xml:space="preserve">This narrative has been strongly present in policy </w:t>
      </w:r>
      <w:r w:rsidR="007B0A53" w:rsidRPr="004B0C50">
        <w:rPr>
          <w:lang w:val="en-GB"/>
        </w:rPr>
        <w:t>and other documents relating to international development policy in all CEE countries</w:t>
      </w:r>
      <w:r w:rsidRPr="004B0C50">
        <w:rPr>
          <w:lang w:val="en-GB"/>
        </w:rPr>
        <w:t xml:space="preserve">, both published by the state and NGOs. </w:t>
      </w:r>
      <w:r w:rsidR="008737A5">
        <w:rPr>
          <w:lang w:val="en-GB"/>
        </w:rPr>
        <w:t xml:space="preserve">However, it is most explicit amongst the V4 states. </w:t>
      </w:r>
      <w:r w:rsidR="008B266F" w:rsidRPr="004B0C50">
        <w:rPr>
          <w:lang w:val="en-GB"/>
        </w:rPr>
        <w:t>The Czech Republic’s Development Cooperation Strategy for 2010-2017 for example states that</w:t>
      </w:r>
    </w:p>
    <w:p w:rsidR="001E4AAA" w:rsidRPr="004B0C50" w:rsidRDefault="001E4AAA" w:rsidP="00781441">
      <w:pPr>
        <w:spacing w:line="276" w:lineRule="auto"/>
        <w:rPr>
          <w:lang w:val="en-GB"/>
        </w:rPr>
      </w:pPr>
    </w:p>
    <w:p w:rsidR="008B266F" w:rsidRPr="004B0C50" w:rsidRDefault="007B0A53" w:rsidP="00781441">
      <w:pPr>
        <w:spacing w:line="276" w:lineRule="auto"/>
        <w:ind w:left="567" w:right="567"/>
        <w:jc w:val="both"/>
        <w:rPr>
          <w:lang w:val="en-GB"/>
        </w:rPr>
      </w:pPr>
      <w:r w:rsidRPr="004B0C50">
        <w:rPr>
          <w:rStyle w:val="longtext1"/>
          <w:rFonts w:eastAsia="Calibri"/>
          <w:bCs/>
          <w:lang w:val="en-GB"/>
        </w:rPr>
        <w:t>[t]</w:t>
      </w:r>
      <w:r w:rsidR="008B266F" w:rsidRPr="004B0C50">
        <w:rPr>
          <w:rStyle w:val="longtext1"/>
          <w:rFonts w:eastAsia="Calibri"/>
          <w:bCs/>
          <w:lang w:val="en-GB"/>
        </w:rPr>
        <w:t>he Czech Republic has a comparative advantage over most of the established donor countries – its experience of a process of political, economic and social transformation.</w:t>
      </w:r>
      <w:r w:rsidR="008B266F" w:rsidRPr="004B0C50">
        <w:rPr>
          <w:rFonts w:eastAsia="Calibri"/>
          <w:color w:val="000000"/>
          <w:lang w:val="en-GB"/>
        </w:rPr>
        <w:t xml:space="preserve"> </w:t>
      </w:r>
      <w:r w:rsidR="008B266F" w:rsidRPr="004B0C50">
        <w:rPr>
          <w:rStyle w:val="longtext1"/>
          <w:rFonts w:eastAsia="Calibri"/>
          <w:bCs/>
          <w:lang w:val="en-GB"/>
        </w:rPr>
        <w:t>It seeks to capitalize on</w:t>
      </w:r>
      <w:r w:rsidR="00DC7074">
        <w:rPr>
          <w:rStyle w:val="longtext1"/>
          <w:rFonts w:eastAsia="Calibri"/>
          <w:bCs/>
          <w:lang w:val="en-GB"/>
        </w:rPr>
        <w:t xml:space="preserve"> </w:t>
      </w:r>
      <w:r w:rsidR="008B266F" w:rsidRPr="004B0C50">
        <w:rPr>
          <w:rStyle w:val="longtext1"/>
          <w:rFonts w:eastAsia="Calibri"/>
          <w:bCs/>
          <w:lang w:val="en-GB"/>
        </w:rPr>
        <w:t>this advantage in cooperation with countries undergoing similar changes, and in countries where the</w:t>
      </w:r>
      <w:r w:rsidR="00DC7074">
        <w:rPr>
          <w:rStyle w:val="longtext1"/>
          <w:rFonts w:eastAsia="Calibri"/>
          <w:bCs/>
          <w:lang w:val="en-GB"/>
        </w:rPr>
        <w:t xml:space="preserve"> </w:t>
      </w:r>
      <w:r w:rsidR="008B266F" w:rsidRPr="004B0C50">
        <w:rPr>
          <w:rStyle w:val="longtext1"/>
          <w:rFonts w:eastAsia="Calibri"/>
          <w:bCs/>
          <w:lang w:val="en-GB"/>
        </w:rPr>
        <w:t>democratic process has not been initiated.</w:t>
      </w:r>
      <w:r w:rsidR="008B266F" w:rsidRPr="004B0C50">
        <w:rPr>
          <w:rStyle w:val="longtext1"/>
          <w:bCs/>
          <w:lang w:val="en-GB"/>
        </w:rPr>
        <w:t xml:space="preserve"> </w:t>
      </w:r>
      <w:r w:rsidR="008B266F" w:rsidRPr="004B0C50">
        <w:rPr>
          <w:rStyle w:val="longtext1"/>
          <w:bCs/>
          <w:lang w:val="en-GB"/>
        </w:rPr>
        <w:tab/>
        <w:t>(</w:t>
      </w:r>
      <w:r w:rsidRPr="004B0C50">
        <w:rPr>
          <w:rStyle w:val="longtext1"/>
          <w:bCs/>
          <w:lang w:val="en-GB"/>
        </w:rPr>
        <w:t>Czech Ministry of Foreign Affairs 2010:</w:t>
      </w:r>
      <w:r w:rsidR="008B266F" w:rsidRPr="004B0C50">
        <w:rPr>
          <w:rStyle w:val="longtext1"/>
          <w:bCs/>
          <w:lang w:val="en-GB"/>
        </w:rPr>
        <w:t xml:space="preserve"> 19)</w:t>
      </w:r>
    </w:p>
    <w:p w:rsidR="008B266F" w:rsidRPr="004B0C50" w:rsidRDefault="008B266F" w:rsidP="00781441">
      <w:pPr>
        <w:spacing w:line="276" w:lineRule="auto"/>
        <w:rPr>
          <w:lang w:val="en-GB"/>
        </w:rPr>
      </w:pPr>
    </w:p>
    <w:p w:rsidR="00BB12F0" w:rsidRPr="004B0C50" w:rsidRDefault="00551A6A" w:rsidP="00781441">
      <w:pPr>
        <w:spacing w:line="276" w:lineRule="auto"/>
        <w:jc w:val="both"/>
        <w:rPr>
          <w:lang w:val="en-GB"/>
        </w:rPr>
      </w:pPr>
      <w:r w:rsidRPr="004B0C50">
        <w:rPr>
          <w:lang w:val="en-GB"/>
        </w:rPr>
        <w:t>V</w:t>
      </w:r>
      <w:r w:rsidR="00BB12F0" w:rsidRPr="004B0C50">
        <w:rPr>
          <w:lang w:val="en-GB"/>
        </w:rPr>
        <w:t>ery similar wordings can be found in earlier documents as well</w:t>
      </w:r>
      <w:r w:rsidRPr="004B0C50">
        <w:rPr>
          <w:lang w:val="en-GB"/>
        </w:rPr>
        <w:t xml:space="preserve"> from other countries</w:t>
      </w:r>
      <w:r w:rsidR="00BB12F0" w:rsidRPr="004B0C50">
        <w:rPr>
          <w:lang w:val="en-GB"/>
        </w:rPr>
        <w:t xml:space="preserve">, such as Slovakia’s National Programme of Official Development Assistance for 2003: </w:t>
      </w:r>
    </w:p>
    <w:p w:rsidR="00BB12F0" w:rsidRPr="004B0C50" w:rsidRDefault="00BB12F0" w:rsidP="00781441">
      <w:pPr>
        <w:spacing w:line="276" w:lineRule="auto"/>
        <w:jc w:val="both"/>
        <w:rPr>
          <w:lang w:val="en-GB"/>
        </w:rPr>
      </w:pPr>
    </w:p>
    <w:p w:rsidR="00BB12F0" w:rsidRPr="004B0C50" w:rsidRDefault="00BB12F0" w:rsidP="00781441">
      <w:pPr>
        <w:spacing w:line="276" w:lineRule="auto"/>
        <w:ind w:left="567" w:right="567"/>
        <w:jc w:val="both"/>
        <w:rPr>
          <w:rStyle w:val="longtext1"/>
          <w:bCs/>
          <w:lang w:val="en-GB"/>
        </w:rPr>
      </w:pPr>
      <w:r w:rsidRPr="004B0C50">
        <w:rPr>
          <w:rStyle w:val="longtext1"/>
          <w:bCs/>
          <w:lang w:val="en-GB"/>
        </w:rPr>
        <w:t xml:space="preserve">Slovakia make[s] maximum use of its comparative advantage over EU donors, which is the unique experience from the intricate transition from communism to democracy and the related reform process. </w:t>
      </w:r>
      <w:r w:rsidRPr="004B0C50">
        <w:rPr>
          <w:rStyle w:val="longtext1"/>
          <w:bCs/>
          <w:lang w:val="en-GB"/>
        </w:rPr>
        <w:tab/>
        <w:t>(</w:t>
      </w:r>
      <w:r w:rsidR="002A44E4">
        <w:rPr>
          <w:rStyle w:val="longtext1"/>
          <w:bCs/>
          <w:lang w:val="en-GB"/>
        </w:rPr>
        <w:t>Slovak</w:t>
      </w:r>
      <w:r w:rsidR="002A44E4" w:rsidRPr="004B0C50">
        <w:rPr>
          <w:rStyle w:val="longtext1"/>
          <w:bCs/>
          <w:lang w:val="en-GB"/>
        </w:rPr>
        <w:t xml:space="preserve"> Ministry of Foreign Affairs </w:t>
      </w:r>
      <w:r w:rsidR="002A44E4">
        <w:rPr>
          <w:rStyle w:val="longtext1"/>
          <w:bCs/>
          <w:lang w:val="en-GB"/>
        </w:rPr>
        <w:t>2003:</w:t>
      </w:r>
      <w:r w:rsidRPr="004B0C50">
        <w:rPr>
          <w:rStyle w:val="longtext1"/>
          <w:bCs/>
          <w:lang w:val="en-GB"/>
        </w:rPr>
        <w:t xml:space="preserve"> 1)</w:t>
      </w:r>
    </w:p>
    <w:p w:rsidR="00BB12F0" w:rsidRPr="004B0C50" w:rsidRDefault="00BB12F0" w:rsidP="00781441">
      <w:pPr>
        <w:spacing w:line="276" w:lineRule="auto"/>
        <w:jc w:val="both"/>
        <w:rPr>
          <w:lang w:val="en-GB"/>
        </w:rPr>
      </w:pPr>
    </w:p>
    <w:p w:rsidR="00BB12F0" w:rsidRPr="004B0C50" w:rsidRDefault="00BB12F0" w:rsidP="00781441">
      <w:pPr>
        <w:spacing w:line="276" w:lineRule="auto"/>
        <w:jc w:val="both"/>
        <w:rPr>
          <w:lang w:val="en-GB"/>
        </w:rPr>
      </w:pPr>
      <w:r w:rsidRPr="004B0C50">
        <w:rPr>
          <w:lang w:val="en-GB"/>
        </w:rPr>
        <w:lastRenderedPageBreak/>
        <w:t>Hungary’s International Development Policy Strategy for 2014-2020 makes institutional development one of the three main priority sectors where Hungary supports</w:t>
      </w:r>
      <w:r w:rsidR="00551A6A" w:rsidRPr="004B0C50">
        <w:rPr>
          <w:lang w:val="en-GB"/>
        </w:rPr>
        <w:t xml:space="preserve"> its partners. This includes ‘</w:t>
      </w:r>
      <w:r w:rsidRPr="004B0C50">
        <w:rPr>
          <w:lang w:val="en-GB"/>
        </w:rPr>
        <w:t>strengthening democratic rule of law; transferring transition and integration experience, good governance, developing state, local and sectoral institutions, capacity building and supporting civil society</w:t>
      </w:r>
      <w:r w:rsidR="00551A6A" w:rsidRPr="004B0C50">
        <w:rPr>
          <w:lang w:val="en-GB"/>
        </w:rPr>
        <w:t>’</w:t>
      </w:r>
      <w:r w:rsidR="002A44E4">
        <w:rPr>
          <w:lang w:val="en-GB"/>
        </w:rPr>
        <w:t xml:space="preserve"> (Hungarian Ministry of Foreign Affairs 2014: 19)</w:t>
      </w:r>
      <w:r w:rsidRPr="004B0C50">
        <w:rPr>
          <w:lang w:val="en-GB"/>
        </w:rPr>
        <w:t xml:space="preserve">. </w:t>
      </w:r>
      <w:r w:rsidR="00140226" w:rsidRPr="004B0C50">
        <w:rPr>
          <w:lang w:val="en-GB"/>
        </w:rPr>
        <w:t xml:space="preserve">According to </w:t>
      </w:r>
      <w:r w:rsidRPr="004B0C50">
        <w:rPr>
          <w:lang w:val="en-GB"/>
        </w:rPr>
        <w:t xml:space="preserve">Poland’s Multiannual Development Cooperation Programme </w:t>
      </w:r>
      <w:r w:rsidR="00140226" w:rsidRPr="004B0C50">
        <w:rPr>
          <w:lang w:val="en-GB"/>
        </w:rPr>
        <w:t xml:space="preserve">for 2012-2015, </w:t>
      </w:r>
    </w:p>
    <w:p w:rsidR="00140226" w:rsidRPr="004B0C50" w:rsidRDefault="00140226" w:rsidP="00781441">
      <w:pPr>
        <w:spacing w:line="276" w:lineRule="auto"/>
        <w:rPr>
          <w:lang w:val="en-GB"/>
        </w:rPr>
      </w:pPr>
    </w:p>
    <w:p w:rsidR="00140226" w:rsidRPr="004B0C50" w:rsidRDefault="00140226" w:rsidP="00781441">
      <w:pPr>
        <w:spacing w:line="276" w:lineRule="auto"/>
        <w:ind w:left="567" w:right="567"/>
        <w:jc w:val="both"/>
        <w:rPr>
          <w:rStyle w:val="longtext1"/>
          <w:bCs/>
          <w:lang w:val="en-GB"/>
        </w:rPr>
      </w:pPr>
      <w:r w:rsidRPr="004B0C50">
        <w:rPr>
          <w:rStyle w:val="longtext1"/>
          <w:bCs/>
          <w:lang w:val="en-GB"/>
        </w:rPr>
        <w:t>[t]he last twenty years of Poland</w:t>
      </w:r>
      <w:r w:rsidR="00551A6A" w:rsidRPr="004B0C50">
        <w:rPr>
          <w:rStyle w:val="longtext1"/>
          <w:bCs/>
          <w:lang w:val="en-GB"/>
        </w:rPr>
        <w:t>’</w:t>
      </w:r>
      <w:r w:rsidRPr="004B0C50">
        <w:rPr>
          <w:rStyle w:val="longtext1"/>
          <w:bCs/>
          <w:lang w:val="en-GB"/>
        </w:rPr>
        <w:t xml:space="preserve">s history provide a good example of a country and society that has made a successful transition from an authoritarian regime and a centrally planned economy to democracy and a free market. This experience could be of special interest for countries that start from a similar position and are eager to learn how to carry out reforms in nearly all fields of government. Polish experts can also share knowledge on how to manage the transformation process itself. </w:t>
      </w:r>
      <w:r w:rsidRPr="004B0C50">
        <w:rPr>
          <w:rStyle w:val="longtext1"/>
          <w:bCs/>
          <w:lang w:val="en-GB"/>
        </w:rPr>
        <w:tab/>
        <w:t>(</w:t>
      </w:r>
      <w:r w:rsidR="002A44E4">
        <w:rPr>
          <w:rStyle w:val="longtext1"/>
          <w:bCs/>
          <w:lang w:val="en-GB"/>
        </w:rPr>
        <w:t xml:space="preserve">Polish </w:t>
      </w:r>
      <w:r w:rsidR="002A44E4" w:rsidRPr="002A44E4">
        <w:rPr>
          <w:rStyle w:val="longtext1"/>
          <w:bCs/>
        </w:rPr>
        <w:t>Ministry of Foreign Affairs 2012:</w:t>
      </w:r>
      <w:r w:rsidRPr="004B0C50">
        <w:rPr>
          <w:rStyle w:val="longtext1"/>
          <w:bCs/>
          <w:lang w:val="en-GB"/>
        </w:rPr>
        <w:t xml:space="preserve"> 7)</w:t>
      </w:r>
    </w:p>
    <w:p w:rsidR="00140226" w:rsidRPr="004B0C50" w:rsidRDefault="00140226" w:rsidP="00781441">
      <w:pPr>
        <w:spacing w:line="276" w:lineRule="auto"/>
        <w:rPr>
          <w:lang w:val="en-GB"/>
        </w:rPr>
      </w:pPr>
    </w:p>
    <w:p w:rsidR="00140226" w:rsidRPr="004B0C50" w:rsidRDefault="00140226" w:rsidP="00781441">
      <w:pPr>
        <w:spacing w:line="276" w:lineRule="auto"/>
        <w:jc w:val="both"/>
        <w:rPr>
          <w:lang w:val="en-GB"/>
        </w:rPr>
      </w:pPr>
      <w:r w:rsidRPr="004B0C50">
        <w:rPr>
          <w:lang w:val="en-GB"/>
        </w:rPr>
        <w:t xml:space="preserve">These and other </w:t>
      </w:r>
      <w:r w:rsidR="00551A6A" w:rsidRPr="004B0C50">
        <w:rPr>
          <w:lang w:val="en-GB"/>
        </w:rPr>
        <w:t>examples</w:t>
      </w:r>
      <w:r w:rsidRPr="004B0C50">
        <w:rPr>
          <w:lang w:val="en-GB"/>
        </w:rPr>
        <w:t xml:space="preserve"> clearly illustrate the importance that the </w:t>
      </w:r>
      <w:r w:rsidR="008737A5">
        <w:rPr>
          <w:lang w:val="en-GB"/>
        </w:rPr>
        <w:t>V4</w:t>
      </w:r>
      <w:r w:rsidRPr="004B0C50">
        <w:rPr>
          <w:lang w:val="en-GB"/>
        </w:rPr>
        <w:t xml:space="preserve"> countries place on transition experience. Most of them have even created dedicated programs or organizations to manage this transfer and make transition experience a more visible component in their international development policies</w:t>
      </w:r>
      <w:r w:rsidR="002A44E4">
        <w:rPr>
          <w:lang w:val="en-GB"/>
        </w:rPr>
        <w:t xml:space="preserve"> </w:t>
      </w:r>
      <w:r w:rsidR="002A44E4" w:rsidRPr="00DC7074">
        <w:rPr>
          <w:lang w:val="en-GB"/>
        </w:rPr>
        <w:t>(Végh 2012)</w:t>
      </w:r>
      <w:r w:rsidR="00FC0C49">
        <w:rPr>
          <w:lang w:val="en-GB"/>
        </w:rPr>
        <w:t xml:space="preserve"> by providing grants to national actors to engage in international experience sharing projects</w:t>
      </w:r>
      <w:r w:rsidRPr="004B0C50">
        <w:rPr>
          <w:lang w:val="en-GB"/>
        </w:rPr>
        <w:t>. In the cases of the Czech Republic and Slovakia, these are dedicated programs under the Ministry of Foreign Affairs</w:t>
      </w:r>
      <w:r w:rsidR="00B073AA">
        <w:rPr>
          <w:lang w:val="en-GB"/>
        </w:rPr>
        <w:t xml:space="preserve"> (MFA)</w:t>
      </w:r>
      <w:r w:rsidRPr="004B0C50">
        <w:rPr>
          <w:lang w:val="en-GB"/>
        </w:rPr>
        <w:t>, the Transition Promotion Programme in the former and the Transformation Experience Sharing Programme in the latter. In 2011 the Polish government created the International Solidarity Fund, acting as a re-granting agency aimed to support democracy promotion projects abroad</w:t>
      </w:r>
      <w:r w:rsidR="00FC0C49">
        <w:rPr>
          <w:lang w:val="en-GB"/>
        </w:rPr>
        <w:t>.</w:t>
      </w:r>
      <w:r w:rsidRPr="004B0C50">
        <w:rPr>
          <w:lang w:val="en-GB"/>
        </w:rPr>
        <w:t xml:space="preserve"> </w:t>
      </w:r>
      <w:r w:rsidR="000608CF" w:rsidRPr="004B0C50">
        <w:rPr>
          <w:lang w:val="en-GB"/>
        </w:rPr>
        <w:t xml:space="preserve">In Hungary, a government sponsored but independent non-profit organization, the International Centre for Democratic Transition </w:t>
      </w:r>
      <w:r w:rsidR="00551A6A" w:rsidRPr="004B0C50">
        <w:rPr>
          <w:lang w:val="en-GB"/>
        </w:rPr>
        <w:t>‘</w:t>
      </w:r>
      <w:r w:rsidR="000608CF" w:rsidRPr="004B0C50">
        <w:rPr>
          <w:lang w:val="en-GB"/>
        </w:rPr>
        <w:t>collects the experiences of recent democratic transitions and shares them with those who are determined to follow that same path</w:t>
      </w:r>
      <w:r w:rsidR="00551A6A" w:rsidRPr="004B0C50">
        <w:rPr>
          <w:lang w:val="en-GB"/>
        </w:rPr>
        <w:t>’</w:t>
      </w:r>
      <w:r w:rsidR="009908DB">
        <w:rPr>
          <w:lang w:val="en-GB"/>
        </w:rPr>
        <w:t xml:space="preserve"> (ICDT 2014)</w:t>
      </w:r>
      <w:r w:rsidR="000608CF" w:rsidRPr="004B0C50">
        <w:rPr>
          <w:lang w:val="en-GB"/>
        </w:rPr>
        <w:t>.</w:t>
      </w:r>
    </w:p>
    <w:p w:rsidR="00140226" w:rsidRPr="004B0C50" w:rsidRDefault="00140226" w:rsidP="00781441">
      <w:pPr>
        <w:spacing w:line="276" w:lineRule="auto"/>
        <w:rPr>
          <w:lang w:val="en-GB"/>
        </w:rPr>
      </w:pPr>
    </w:p>
    <w:p w:rsidR="000608CF" w:rsidRPr="004B0C50" w:rsidRDefault="000608CF" w:rsidP="00781441">
      <w:pPr>
        <w:spacing w:line="276" w:lineRule="auto"/>
        <w:jc w:val="both"/>
        <w:rPr>
          <w:lang w:val="en-GB"/>
        </w:rPr>
      </w:pPr>
      <w:r w:rsidRPr="004B0C50">
        <w:rPr>
          <w:lang w:val="en-GB"/>
        </w:rPr>
        <w:t xml:space="preserve">Transition experience therefore, due to its nature, seems best suited to support </w:t>
      </w:r>
      <w:r w:rsidR="009908DB">
        <w:rPr>
          <w:lang w:val="en-GB"/>
        </w:rPr>
        <w:t xml:space="preserve">the external </w:t>
      </w:r>
      <w:r w:rsidRPr="004B0C50">
        <w:rPr>
          <w:lang w:val="en-GB"/>
        </w:rPr>
        <w:t xml:space="preserve">democracy promotion </w:t>
      </w:r>
      <w:r w:rsidR="009908DB">
        <w:rPr>
          <w:lang w:val="en-GB"/>
        </w:rPr>
        <w:t xml:space="preserve">components of </w:t>
      </w:r>
      <w:r w:rsidR="008737A5">
        <w:rPr>
          <w:lang w:val="en-GB"/>
        </w:rPr>
        <w:t>V4</w:t>
      </w:r>
      <w:r w:rsidR="009908DB">
        <w:rPr>
          <w:lang w:val="en-GB"/>
        </w:rPr>
        <w:t xml:space="preserve"> international development policies</w:t>
      </w:r>
      <w:r w:rsidRPr="004B0C50">
        <w:rPr>
          <w:lang w:val="en-GB"/>
        </w:rPr>
        <w:t xml:space="preserve">. </w:t>
      </w:r>
      <w:r w:rsidR="009908DB">
        <w:rPr>
          <w:lang w:val="en-GB"/>
        </w:rPr>
        <w:t>P</w:t>
      </w:r>
      <w:r w:rsidRPr="004B0C50">
        <w:rPr>
          <w:lang w:val="en-GB"/>
        </w:rPr>
        <w:t xml:space="preserve">erhaps Poland has gone the farthest in </w:t>
      </w:r>
      <w:r w:rsidR="009908DB" w:rsidRPr="004B0C50">
        <w:rPr>
          <w:lang w:val="en-GB"/>
        </w:rPr>
        <w:t>conceptualiz</w:t>
      </w:r>
      <w:r w:rsidR="009908DB">
        <w:rPr>
          <w:lang w:val="en-GB"/>
        </w:rPr>
        <w:t xml:space="preserve">ing transition experience </w:t>
      </w:r>
      <w:r w:rsidR="009908DB" w:rsidRPr="004B0C50">
        <w:rPr>
          <w:lang w:val="en-GB"/>
        </w:rPr>
        <w:t xml:space="preserve">as a tool of democracy promotion, </w:t>
      </w:r>
      <w:r w:rsidR="001563B3" w:rsidRPr="004B0C50">
        <w:rPr>
          <w:lang w:val="en-GB"/>
        </w:rPr>
        <w:t>as it is the country which has most profoundly placed its entire international development policy on the principle of promoting democracy abroad</w:t>
      </w:r>
      <w:r w:rsidRPr="004B0C50">
        <w:rPr>
          <w:lang w:val="en-GB"/>
        </w:rPr>
        <w:t>.</w:t>
      </w:r>
      <w:r w:rsidR="00551A6A" w:rsidRPr="004B0C50">
        <w:rPr>
          <w:rStyle w:val="FootnoteReference"/>
          <w:lang w:val="en-GB"/>
        </w:rPr>
        <w:footnoteReference w:id="3"/>
      </w:r>
      <w:r w:rsidRPr="004B0C50">
        <w:rPr>
          <w:lang w:val="en-GB"/>
        </w:rPr>
        <w:t xml:space="preserve"> Some of the other excerpts above however seem to indicate that </w:t>
      </w:r>
      <w:r w:rsidR="008737A5">
        <w:rPr>
          <w:lang w:val="en-GB"/>
        </w:rPr>
        <w:t>V4</w:t>
      </w:r>
      <w:r w:rsidRPr="004B0C50">
        <w:rPr>
          <w:lang w:val="en-GB"/>
        </w:rPr>
        <w:t xml:space="preserve"> countries see </w:t>
      </w:r>
      <w:r w:rsidR="001563B3" w:rsidRPr="004B0C50">
        <w:rPr>
          <w:lang w:val="en-GB"/>
        </w:rPr>
        <w:t>spreading transition experience as an end in itself, without necessarily having any clear goal in mind other than referring to transition experience as a way of differentiating themselves from the established donors.</w:t>
      </w:r>
      <w:r w:rsidR="00551A6A" w:rsidRPr="004B0C50">
        <w:rPr>
          <w:lang w:val="en-GB"/>
        </w:rPr>
        <w:t xml:space="preserve"> Emphasizing transition experience may simply be a way of constructing a unique donor identity as opposed both to the ‘traditional’ Western donors, but also the ‘emerging donors’ like China or Brazil. Transition experience allows the </w:t>
      </w:r>
      <w:r w:rsidR="008737A5">
        <w:rPr>
          <w:lang w:val="en-GB"/>
        </w:rPr>
        <w:t>V4</w:t>
      </w:r>
      <w:r w:rsidR="00551A6A" w:rsidRPr="004B0C50">
        <w:rPr>
          <w:lang w:val="en-GB"/>
        </w:rPr>
        <w:t xml:space="preserve"> countries to justify their presence </w:t>
      </w:r>
      <w:r w:rsidR="009908DB">
        <w:rPr>
          <w:lang w:val="en-GB"/>
        </w:rPr>
        <w:t xml:space="preserve">and niche </w:t>
      </w:r>
      <w:r w:rsidR="00551A6A" w:rsidRPr="004B0C50">
        <w:rPr>
          <w:lang w:val="en-GB"/>
        </w:rPr>
        <w:t>in the international development system: they are not simply new donors with little money, adding to the existing problems of fragmentation in the system, but they can share a unique experience which can be highly valuable for developing countries.</w:t>
      </w:r>
    </w:p>
    <w:p w:rsidR="000608CF" w:rsidRPr="004B0C50" w:rsidRDefault="000608CF" w:rsidP="00781441">
      <w:pPr>
        <w:spacing w:line="276" w:lineRule="auto"/>
        <w:rPr>
          <w:lang w:val="en-GB"/>
        </w:rPr>
      </w:pPr>
    </w:p>
    <w:p w:rsidR="004B0C50" w:rsidRPr="004B0C50" w:rsidRDefault="000608CF" w:rsidP="00781441">
      <w:pPr>
        <w:spacing w:line="276" w:lineRule="auto"/>
        <w:jc w:val="both"/>
        <w:rPr>
          <w:lang w:val="en-GB"/>
        </w:rPr>
      </w:pPr>
      <w:r w:rsidRPr="004B0C50">
        <w:rPr>
          <w:lang w:val="en-GB"/>
        </w:rPr>
        <w:t xml:space="preserve">But, there are several problems related to the transition experience narrative and </w:t>
      </w:r>
      <w:r w:rsidR="004B0C50" w:rsidRPr="004B0C50">
        <w:rPr>
          <w:lang w:val="en-GB"/>
        </w:rPr>
        <w:t xml:space="preserve">its usage </w:t>
      </w:r>
      <w:r w:rsidRPr="004B0C50">
        <w:rPr>
          <w:lang w:val="en-GB"/>
        </w:rPr>
        <w:t>as a basis for justifying international development activities, which have been increasingly addressed in the literature (</w:t>
      </w:r>
      <w:r w:rsidR="002367E4">
        <w:rPr>
          <w:lang w:val="en-GB"/>
        </w:rPr>
        <w:t>Dabrowski 2012;</w:t>
      </w:r>
      <w:r w:rsidR="004B0C50" w:rsidRPr="004B0C50">
        <w:rPr>
          <w:lang w:val="en-GB"/>
        </w:rPr>
        <w:t xml:space="preserve"> </w:t>
      </w:r>
      <w:r w:rsidRPr="004B0C50">
        <w:rPr>
          <w:lang w:val="en-GB"/>
        </w:rPr>
        <w:t>Hork</w:t>
      </w:r>
      <w:r w:rsidR="002367E4" w:rsidRPr="00DD0430">
        <w:rPr>
          <w:iCs/>
          <w:lang w:val="en-GB"/>
        </w:rPr>
        <w:t>ý</w:t>
      </w:r>
      <w:r w:rsidRPr="004B0C50">
        <w:rPr>
          <w:lang w:val="en-GB"/>
        </w:rPr>
        <w:t xml:space="preserve"> 2012</w:t>
      </w:r>
      <w:r w:rsidR="002367E4">
        <w:rPr>
          <w:lang w:val="en-GB"/>
        </w:rPr>
        <w:t>b;</w:t>
      </w:r>
      <w:r w:rsidRPr="004B0C50">
        <w:rPr>
          <w:lang w:val="en-GB"/>
        </w:rPr>
        <w:t xml:space="preserve"> Szent-Iványi 2014). These problems are both conceptual and practical in nature. </w:t>
      </w:r>
      <w:r w:rsidR="007E21BB">
        <w:rPr>
          <w:lang w:val="en-GB"/>
        </w:rPr>
        <w:t xml:space="preserve">A detailed discussion of these is beyond the scope of the paper, but they are briefly presented. </w:t>
      </w:r>
      <w:r w:rsidRPr="004B0C50">
        <w:rPr>
          <w:lang w:val="en-GB"/>
        </w:rPr>
        <w:t xml:space="preserve">Conceptual problems relate to the transferability and </w:t>
      </w:r>
      <w:r w:rsidR="004B0C50" w:rsidRPr="004B0C50">
        <w:rPr>
          <w:lang w:val="en-GB"/>
        </w:rPr>
        <w:t>relevance</w:t>
      </w:r>
      <w:r w:rsidRPr="004B0C50">
        <w:rPr>
          <w:lang w:val="en-GB"/>
        </w:rPr>
        <w:t xml:space="preserve"> of </w:t>
      </w:r>
      <w:r w:rsidR="008737A5">
        <w:rPr>
          <w:lang w:val="en-GB"/>
        </w:rPr>
        <w:t>V4</w:t>
      </w:r>
      <w:r w:rsidRPr="004B0C50">
        <w:rPr>
          <w:lang w:val="en-GB"/>
        </w:rPr>
        <w:t xml:space="preserve"> transition experience in developing country contexts</w:t>
      </w:r>
      <w:r w:rsidR="001563B3" w:rsidRPr="004B0C50">
        <w:rPr>
          <w:lang w:val="en-GB"/>
        </w:rPr>
        <w:t>. Are the problems faced by societies in transition today (</w:t>
      </w:r>
      <w:r w:rsidR="004B0C50" w:rsidRPr="004B0C50">
        <w:rPr>
          <w:lang w:val="en-GB"/>
        </w:rPr>
        <w:t xml:space="preserve">such as ones </w:t>
      </w:r>
      <w:r w:rsidR="001563B3" w:rsidRPr="004B0C50">
        <w:rPr>
          <w:lang w:val="en-GB"/>
        </w:rPr>
        <w:t xml:space="preserve">in the EU’s Eastern and Southern neighbourhood, or even beyond) similar to the ones the CEE countries faced between 1989 and 2004? While answering this question would require a detailed investigation beyond the scope of this paper, contexts and issues are </w:t>
      </w:r>
      <w:r w:rsidR="004B0C50" w:rsidRPr="004B0C50">
        <w:rPr>
          <w:lang w:val="en-GB"/>
        </w:rPr>
        <w:t xml:space="preserve">clearly </w:t>
      </w:r>
      <w:r w:rsidR="001563B3" w:rsidRPr="004B0C50">
        <w:rPr>
          <w:lang w:val="en-GB"/>
        </w:rPr>
        <w:t xml:space="preserve">highly different, </w:t>
      </w:r>
      <w:r w:rsidR="004B0C50" w:rsidRPr="004B0C50">
        <w:rPr>
          <w:lang w:val="en-GB"/>
        </w:rPr>
        <w:t xml:space="preserve">as shown by a </w:t>
      </w:r>
      <w:r w:rsidR="002367E4">
        <w:rPr>
          <w:lang w:val="en-GB"/>
        </w:rPr>
        <w:t xml:space="preserve">brief </w:t>
      </w:r>
      <w:r w:rsidR="004B0C50" w:rsidRPr="004B0C50">
        <w:rPr>
          <w:lang w:val="en-GB"/>
        </w:rPr>
        <w:t xml:space="preserve">comparison by Dabrowski (2012) between the geopolitical and socio-economic context of the 2011 Arab revolutions and that of </w:t>
      </w:r>
      <w:r w:rsidR="002367E4">
        <w:rPr>
          <w:lang w:val="en-GB"/>
        </w:rPr>
        <w:t xml:space="preserve">the </w:t>
      </w:r>
      <w:r w:rsidR="004B0C50" w:rsidRPr="004B0C50">
        <w:rPr>
          <w:lang w:val="en-GB"/>
        </w:rPr>
        <w:t xml:space="preserve">former Soviet bloc countries more than twenty years ago. One may therefore rightly be </w:t>
      </w:r>
      <w:r w:rsidR="007E21BB" w:rsidRPr="004B0C50">
        <w:rPr>
          <w:lang w:val="en-GB"/>
        </w:rPr>
        <w:t>sceptical</w:t>
      </w:r>
      <w:r w:rsidR="004B0C50" w:rsidRPr="004B0C50">
        <w:rPr>
          <w:lang w:val="en-GB"/>
        </w:rPr>
        <w:t xml:space="preserve"> about </w:t>
      </w:r>
      <w:r w:rsidR="007E21BB">
        <w:rPr>
          <w:lang w:val="en-GB"/>
        </w:rPr>
        <w:t xml:space="preserve">how relevant </w:t>
      </w:r>
      <w:r w:rsidR="008737A5">
        <w:rPr>
          <w:lang w:val="en-GB"/>
        </w:rPr>
        <w:t>V4</w:t>
      </w:r>
      <w:r w:rsidR="002367E4">
        <w:rPr>
          <w:lang w:val="en-GB"/>
        </w:rPr>
        <w:t xml:space="preserve"> </w:t>
      </w:r>
      <w:r w:rsidR="007E21BB">
        <w:rPr>
          <w:lang w:val="en-GB"/>
        </w:rPr>
        <w:t>transition experience actually is</w:t>
      </w:r>
      <w:r w:rsidR="004B0C50" w:rsidRPr="004B0C50">
        <w:rPr>
          <w:lang w:val="en-GB"/>
        </w:rPr>
        <w:t xml:space="preserve">. </w:t>
      </w:r>
    </w:p>
    <w:p w:rsidR="00BB12F0" w:rsidRPr="004B0C50" w:rsidRDefault="00BB12F0" w:rsidP="00781441">
      <w:pPr>
        <w:spacing w:line="276" w:lineRule="auto"/>
        <w:rPr>
          <w:lang w:val="en-GB"/>
        </w:rPr>
      </w:pPr>
    </w:p>
    <w:p w:rsidR="007E21BB" w:rsidRPr="004B0C50" w:rsidRDefault="007E21BB" w:rsidP="00781441">
      <w:pPr>
        <w:spacing w:line="276" w:lineRule="auto"/>
        <w:jc w:val="both"/>
        <w:rPr>
          <w:lang w:val="en-GB"/>
        </w:rPr>
      </w:pPr>
      <w:r>
        <w:rPr>
          <w:lang w:val="en-GB"/>
        </w:rPr>
        <w:t xml:space="preserve">A second (and related conceptual issue) is </w:t>
      </w:r>
      <w:r w:rsidRPr="007E21BB">
        <w:rPr>
          <w:i/>
          <w:lang w:val="en-GB"/>
        </w:rPr>
        <w:t>what</w:t>
      </w:r>
      <w:r>
        <w:rPr>
          <w:lang w:val="en-GB"/>
        </w:rPr>
        <w:t xml:space="preserve"> transition experience actually is. </w:t>
      </w:r>
      <w:r w:rsidRPr="004B0C50">
        <w:rPr>
          <w:lang w:val="en-GB"/>
        </w:rPr>
        <w:t xml:space="preserve">As mentioned, reforms in the </w:t>
      </w:r>
      <w:r w:rsidR="008737A5">
        <w:rPr>
          <w:lang w:val="en-GB"/>
        </w:rPr>
        <w:t>V4</w:t>
      </w:r>
      <w:r w:rsidRPr="004B0C50">
        <w:rPr>
          <w:lang w:val="en-GB"/>
        </w:rPr>
        <w:t xml:space="preserve"> countries basically impacted all areas of life, making transition experience potentially an extremely broad term. Poland for example mentions, among other things, issues like developing small and medium enterprises, agricultural and rural development, counteracting environmental degradation, climate change mitigation and adaptation, and building modern information management systems as parts of its transition experience</w:t>
      </w:r>
      <w:r w:rsidR="002367E4">
        <w:rPr>
          <w:lang w:val="en-GB"/>
        </w:rPr>
        <w:t xml:space="preserve"> (</w:t>
      </w:r>
      <w:r w:rsidR="002367E4" w:rsidRPr="002367E4">
        <w:rPr>
          <w:lang w:val="en-GB"/>
        </w:rPr>
        <w:t>Polish Ministry of Foreign Affairs 2012: 7)</w:t>
      </w:r>
      <w:r w:rsidRPr="002367E4">
        <w:rPr>
          <w:lang w:val="en-GB"/>
        </w:rPr>
        <w:t>. While</w:t>
      </w:r>
      <w:r w:rsidRPr="004B0C50">
        <w:rPr>
          <w:lang w:val="en-GB"/>
        </w:rPr>
        <w:t xml:space="preserve"> the transition and integration process clearly impacted all these sectors, has it really informed sectoral know</w:t>
      </w:r>
      <w:r w:rsidR="002367E4">
        <w:rPr>
          <w:lang w:val="en-GB"/>
        </w:rPr>
        <w:t>-</w:t>
      </w:r>
      <w:r w:rsidRPr="004B0C50">
        <w:rPr>
          <w:lang w:val="en-GB"/>
        </w:rPr>
        <w:t>how to the extent to make Poland’s expertise</w:t>
      </w:r>
      <w:r>
        <w:rPr>
          <w:lang w:val="en-GB"/>
        </w:rPr>
        <w:t xml:space="preserve"> unique? Other </w:t>
      </w:r>
      <w:r w:rsidR="008737A5">
        <w:rPr>
          <w:lang w:val="en-GB"/>
        </w:rPr>
        <w:t>V4</w:t>
      </w:r>
      <w:r>
        <w:rPr>
          <w:lang w:val="en-GB"/>
        </w:rPr>
        <w:t xml:space="preserve"> countries do no</w:t>
      </w:r>
      <w:r w:rsidRPr="004B0C50">
        <w:rPr>
          <w:lang w:val="en-GB"/>
        </w:rPr>
        <w:t xml:space="preserve">t seem to detail the content </w:t>
      </w:r>
      <w:r>
        <w:rPr>
          <w:lang w:val="en-GB"/>
        </w:rPr>
        <w:t>of their transition experience as much as Poland does</w:t>
      </w:r>
      <w:r w:rsidRPr="004B0C50">
        <w:rPr>
          <w:lang w:val="en-GB"/>
        </w:rPr>
        <w:t xml:space="preserve">, and mainly imply that transition experience refers to sharing expertise between </w:t>
      </w:r>
      <w:r>
        <w:rPr>
          <w:lang w:val="en-GB"/>
        </w:rPr>
        <w:t xml:space="preserve">various actors (official and non-state) </w:t>
      </w:r>
      <w:r w:rsidRPr="004B0C50">
        <w:rPr>
          <w:lang w:val="en-GB"/>
        </w:rPr>
        <w:t>on reform processes. None the less, it seems that if a country wants, it can argue that any knowledge transfer project that it undertakes with its partners is related to transition experience.</w:t>
      </w:r>
    </w:p>
    <w:p w:rsidR="007E21BB" w:rsidRPr="004B0C50" w:rsidRDefault="007E21BB" w:rsidP="00781441">
      <w:pPr>
        <w:spacing w:line="276" w:lineRule="auto"/>
        <w:rPr>
          <w:lang w:val="en-GB"/>
        </w:rPr>
      </w:pPr>
    </w:p>
    <w:p w:rsidR="007E21BB" w:rsidRDefault="007E21BB" w:rsidP="00781441">
      <w:pPr>
        <w:spacing w:line="276" w:lineRule="auto"/>
        <w:jc w:val="both"/>
        <w:rPr>
          <w:lang w:val="en-GB"/>
        </w:rPr>
      </w:pPr>
      <w:r>
        <w:rPr>
          <w:lang w:val="en-GB"/>
        </w:rPr>
        <w:t>Practical problems also raise several questions. First, t</w:t>
      </w:r>
      <w:r w:rsidR="001563B3" w:rsidRPr="004B0C50">
        <w:rPr>
          <w:lang w:val="en-GB"/>
        </w:rPr>
        <w:t xml:space="preserve">ransferring transition experience requires an international development policy that is based heavily on technical cooperation tied to procurement from donor country </w:t>
      </w:r>
      <w:r w:rsidR="00B073AA">
        <w:rPr>
          <w:lang w:val="en-GB"/>
        </w:rPr>
        <w:t>actors,</w:t>
      </w:r>
      <w:r w:rsidR="001563B3" w:rsidRPr="004B0C50">
        <w:rPr>
          <w:lang w:val="en-GB"/>
        </w:rPr>
        <w:t xml:space="preserve"> an</w:t>
      </w:r>
      <w:r w:rsidR="00F375F1">
        <w:rPr>
          <w:lang w:val="en-GB"/>
        </w:rPr>
        <w:t xml:space="preserve">d is thus highly supply driven, allowing little scope for national ownership and alignment. </w:t>
      </w:r>
      <w:r w:rsidR="00B073AA">
        <w:rPr>
          <w:lang w:val="en-GB"/>
        </w:rPr>
        <w:t xml:space="preserve">This goes against internationally agreed principles in development policy such as those embodied in the 2005 Paris Declaration. </w:t>
      </w:r>
      <w:r w:rsidR="00F375F1">
        <w:rPr>
          <w:lang w:val="en-GB"/>
        </w:rPr>
        <w:t xml:space="preserve">Second, how can MFAs in charge of international development policy actually harness transition experience, which exists in a decentralized manner in several different government agencies, NGOs and individual experts? </w:t>
      </w:r>
      <w:r w:rsidR="00B073AA">
        <w:rPr>
          <w:lang w:val="en-GB"/>
        </w:rPr>
        <w:t>How</w:t>
      </w:r>
      <w:r w:rsidR="00F375F1">
        <w:rPr>
          <w:lang w:val="en-GB"/>
        </w:rPr>
        <w:t xml:space="preserve"> can those who possess transition experience, are engaged in their day-to-day work and may not even think of their knowledge as transferable to others be engaged in development cooperation?</w:t>
      </w:r>
      <w:r w:rsidR="006D28CC">
        <w:rPr>
          <w:lang w:val="en-GB"/>
        </w:rPr>
        <w:t xml:space="preserve"> And, more broadly, how will the MFA gather information on ‘who knows what’?</w:t>
      </w:r>
    </w:p>
    <w:p w:rsidR="007E21BB" w:rsidRDefault="007E21BB" w:rsidP="00781441">
      <w:pPr>
        <w:spacing w:line="276" w:lineRule="auto"/>
        <w:rPr>
          <w:lang w:val="en-GB"/>
        </w:rPr>
      </w:pPr>
    </w:p>
    <w:p w:rsidR="00870EA7" w:rsidRPr="004B0C50" w:rsidRDefault="00F375F1" w:rsidP="00781441">
      <w:pPr>
        <w:spacing w:line="276" w:lineRule="auto"/>
        <w:jc w:val="both"/>
        <w:rPr>
          <w:lang w:val="en-GB"/>
        </w:rPr>
      </w:pPr>
      <w:r>
        <w:rPr>
          <w:lang w:val="en-GB"/>
        </w:rPr>
        <w:lastRenderedPageBreak/>
        <w:t xml:space="preserve">Despite these conceptual and practical difficulties, the </w:t>
      </w:r>
      <w:r w:rsidR="008737A5">
        <w:rPr>
          <w:lang w:val="en-GB"/>
        </w:rPr>
        <w:t>V4</w:t>
      </w:r>
      <w:r>
        <w:rPr>
          <w:lang w:val="en-GB"/>
        </w:rPr>
        <w:t xml:space="preserve"> countries have not only made transition experience a part of their bilateral development policies, but have also made clear attempts to make it visible on the EU level as well.</w:t>
      </w:r>
      <w:r w:rsidR="00B073AA">
        <w:rPr>
          <w:lang w:val="en-GB"/>
        </w:rPr>
        <w:t xml:space="preserve"> </w:t>
      </w:r>
      <w:r w:rsidR="00843982">
        <w:rPr>
          <w:lang w:val="en-GB"/>
        </w:rPr>
        <w:t>We</w:t>
      </w:r>
      <w:r w:rsidR="00B073AA">
        <w:rPr>
          <w:lang w:val="en-GB"/>
        </w:rPr>
        <w:t xml:space="preserve"> turn to examining these efforts next.</w:t>
      </w:r>
    </w:p>
    <w:p w:rsidR="001563B3" w:rsidRDefault="001563B3" w:rsidP="00781441">
      <w:pPr>
        <w:spacing w:line="276" w:lineRule="auto"/>
        <w:rPr>
          <w:lang w:val="en-GB"/>
        </w:rPr>
      </w:pPr>
    </w:p>
    <w:p w:rsidR="00B073AA" w:rsidRPr="004B0C50" w:rsidRDefault="00B073AA" w:rsidP="00781441">
      <w:pPr>
        <w:spacing w:line="276" w:lineRule="auto"/>
        <w:rPr>
          <w:lang w:val="en-GB"/>
        </w:rPr>
      </w:pPr>
    </w:p>
    <w:p w:rsidR="004349DC" w:rsidRPr="004B0C50" w:rsidRDefault="00F375F1" w:rsidP="00781441">
      <w:pPr>
        <w:spacing w:line="276" w:lineRule="auto"/>
        <w:rPr>
          <w:b/>
          <w:lang w:val="en-GB"/>
        </w:rPr>
      </w:pPr>
      <w:r>
        <w:rPr>
          <w:b/>
          <w:lang w:val="en-GB"/>
        </w:rPr>
        <w:t>4.</w:t>
      </w:r>
      <w:r w:rsidR="00DF20C1">
        <w:rPr>
          <w:b/>
          <w:lang w:val="en-GB"/>
        </w:rPr>
        <w:t xml:space="preserve"> </w:t>
      </w:r>
      <w:r w:rsidR="001A7726">
        <w:rPr>
          <w:b/>
          <w:lang w:val="en-GB"/>
        </w:rPr>
        <w:t>There is s</w:t>
      </w:r>
      <w:r w:rsidR="00B073AA">
        <w:rPr>
          <w:b/>
          <w:lang w:val="en-GB"/>
        </w:rPr>
        <w:t>ome e</w:t>
      </w:r>
      <w:r w:rsidR="001A7726">
        <w:rPr>
          <w:b/>
          <w:lang w:val="en-GB"/>
        </w:rPr>
        <w:t>vidence of successful uploading…</w:t>
      </w:r>
    </w:p>
    <w:p w:rsidR="004349DC" w:rsidRPr="004B0C50" w:rsidRDefault="004349DC" w:rsidP="00781441">
      <w:pPr>
        <w:spacing w:line="276" w:lineRule="auto"/>
        <w:rPr>
          <w:lang w:val="en-GB"/>
        </w:rPr>
      </w:pPr>
    </w:p>
    <w:p w:rsidR="00F375F1" w:rsidRPr="004B0C50" w:rsidRDefault="004349DC" w:rsidP="00781441">
      <w:pPr>
        <w:spacing w:line="276" w:lineRule="auto"/>
        <w:jc w:val="both"/>
        <w:rPr>
          <w:lang w:val="en-GB"/>
        </w:rPr>
      </w:pPr>
      <w:r w:rsidRPr="004B0C50">
        <w:rPr>
          <w:lang w:val="en-GB"/>
        </w:rPr>
        <w:t>Given the importance o</w:t>
      </w:r>
      <w:r w:rsidR="00803125" w:rsidRPr="004B0C50">
        <w:rPr>
          <w:lang w:val="en-GB"/>
        </w:rPr>
        <w:t>f</w:t>
      </w:r>
      <w:r w:rsidRPr="004B0C50">
        <w:rPr>
          <w:lang w:val="en-GB"/>
        </w:rPr>
        <w:t xml:space="preserve"> transition experience in national rhetoric, and the role it plays in creating donor identities</w:t>
      </w:r>
      <w:r w:rsidR="00803125" w:rsidRPr="004B0C50">
        <w:rPr>
          <w:lang w:val="en-GB"/>
        </w:rPr>
        <w:t>, it is reasonable to expect</w:t>
      </w:r>
      <w:r w:rsidRPr="004B0C50">
        <w:rPr>
          <w:lang w:val="en-GB"/>
        </w:rPr>
        <w:t xml:space="preserve"> </w:t>
      </w:r>
      <w:r w:rsidR="00803125" w:rsidRPr="004B0C50">
        <w:rPr>
          <w:lang w:val="en-GB"/>
        </w:rPr>
        <w:t xml:space="preserve">that the </w:t>
      </w:r>
      <w:r w:rsidR="008737A5">
        <w:rPr>
          <w:lang w:val="en-GB"/>
        </w:rPr>
        <w:t>V4</w:t>
      </w:r>
      <w:r w:rsidR="00803125" w:rsidRPr="004B0C50">
        <w:rPr>
          <w:lang w:val="en-GB"/>
        </w:rPr>
        <w:t xml:space="preserve"> countries will attempt to represent it on the European level as well.</w:t>
      </w:r>
      <w:r w:rsidR="00F375F1">
        <w:rPr>
          <w:lang w:val="en-GB"/>
        </w:rPr>
        <w:t xml:space="preserve"> There is evidence that transition experience has entered EU level discourses. All </w:t>
      </w:r>
      <w:r w:rsidR="008737A5">
        <w:rPr>
          <w:lang w:val="en-GB"/>
        </w:rPr>
        <w:t>V4</w:t>
      </w:r>
      <w:r w:rsidR="00F375F1">
        <w:rPr>
          <w:lang w:val="en-GB"/>
        </w:rPr>
        <w:t xml:space="preserve"> development experts representing their countries in </w:t>
      </w:r>
      <w:r w:rsidR="00DF20C1">
        <w:rPr>
          <w:lang w:val="en-GB"/>
        </w:rPr>
        <w:t>CODEV</w:t>
      </w:r>
      <w:r w:rsidR="00F375F1">
        <w:rPr>
          <w:lang w:val="en-GB"/>
        </w:rPr>
        <w:t xml:space="preserve"> argued during the interviews how important this experience is and how they attempt to ‘represent’ it on the EU level. All </w:t>
      </w:r>
      <w:r w:rsidR="0087661F">
        <w:rPr>
          <w:lang w:val="en-GB"/>
        </w:rPr>
        <w:t>EC</w:t>
      </w:r>
      <w:r w:rsidR="00F375F1">
        <w:rPr>
          <w:lang w:val="en-GB"/>
        </w:rPr>
        <w:t xml:space="preserve">, EEAS and Council officials interviewed also seemed highly knowledgeable about the importance the </w:t>
      </w:r>
      <w:r w:rsidR="008737A5">
        <w:rPr>
          <w:lang w:val="en-GB"/>
        </w:rPr>
        <w:t>V4</w:t>
      </w:r>
      <w:r w:rsidR="00F375F1">
        <w:rPr>
          <w:lang w:val="en-GB"/>
        </w:rPr>
        <w:t xml:space="preserve"> countries attach to transition experience. The question is</w:t>
      </w:r>
      <w:proofErr w:type="gramStart"/>
      <w:r w:rsidR="00F375F1">
        <w:rPr>
          <w:lang w:val="en-GB"/>
        </w:rPr>
        <w:t>,</w:t>
      </w:r>
      <w:proofErr w:type="gramEnd"/>
      <w:r w:rsidR="00F375F1">
        <w:rPr>
          <w:lang w:val="en-GB"/>
        </w:rPr>
        <w:t xml:space="preserve"> have the </w:t>
      </w:r>
      <w:r w:rsidR="008737A5">
        <w:rPr>
          <w:lang w:val="en-GB"/>
        </w:rPr>
        <w:t>V4</w:t>
      </w:r>
      <w:r w:rsidR="00F375F1">
        <w:rPr>
          <w:lang w:val="en-GB"/>
        </w:rPr>
        <w:t xml:space="preserve"> countries managed to achieve any results</w:t>
      </w:r>
      <w:r w:rsidR="00DF20C1">
        <w:rPr>
          <w:lang w:val="en-GB"/>
        </w:rPr>
        <w:t xml:space="preserve"> in making EU level policies reflect this</w:t>
      </w:r>
      <w:r w:rsidR="00F375F1">
        <w:rPr>
          <w:lang w:val="en-GB"/>
        </w:rPr>
        <w:t xml:space="preserve">. </w:t>
      </w:r>
    </w:p>
    <w:p w:rsidR="00140226" w:rsidRDefault="00140226" w:rsidP="00781441">
      <w:pPr>
        <w:spacing w:line="276" w:lineRule="auto"/>
        <w:rPr>
          <w:lang w:val="en-GB"/>
        </w:rPr>
      </w:pPr>
    </w:p>
    <w:p w:rsidR="00F375F1" w:rsidRPr="004B0C50" w:rsidRDefault="00B67BCC" w:rsidP="00781441">
      <w:pPr>
        <w:spacing w:line="276" w:lineRule="auto"/>
        <w:jc w:val="both"/>
        <w:rPr>
          <w:lang w:val="en-GB"/>
        </w:rPr>
      </w:pPr>
      <w:r>
        <w:rPr>
          <w:lang w:val="en-GB"/>
        </w:rPr>
        <w:t xml:space="preserve">Some tangible results are clearly visible. </w:t>
      </w:r>
      <w:r w:rsidR="00F375F1">
        <w:rPr>
          <w:lang w:val="en-GB"/>
        </w:rPr>
        <w:t xml:space="preserve">The first clear result was a short reference to new member state transition experience in the 2006 European Consensus for Development, a joint policy statement by the Council, the Parliament and the </w:t>
      </w:r>
      <w:r w:rsidR="0087661F">
        <w:rPr>
          <w:lang w:val="en-GB"/>
        </w:rPr>
        <w:t>EC</w:t>
      </w:r>
      <w:r w:rsidR="00F375F1">
        <w:rPr>
          <w:lang w:val="en-GB"/>
        </w:rPr>
        <w:t xml:space="preserve"> which provides a strategic framework for the EU’s development policy. </w:t>
      </w:r>
      <w:proofErr w:type="gramStart"/>
      <w:r w:rsidR="006D28CC">
        <w:rPr>
          <w:lang w:val="en-GB"/>
        </w:rPr>
        <w:t xml:space="preserve">Article 33 states that </w:t>
      </w:r>
      <w:r w:rsidR="006D28CC" w:rsidRPr="00DD0430">
        <w:rPr>
          <w:lang w:val="en-GB"/>
        </w:rPr>
        <w:t>‘the EU will capitalise on new Member States’ experience (such as transition management) and help strengthen the role of these countries as new donors.’</w:t>
      </w:r>
      <w:proofErr w:type="gramEnd"/>
      <w:r w:rsidR="006D28CC">
        <w:rPr>
          <w:lang w:val="en-GB"/>
        </w:rPr>
        <w:t xml:space="preserve"> Even though the European Consensus can only be seen as soft law, this article gave the </w:t>
      </w:r>
      <w:r w:rsidR="008737A5">
        <w:rPr>
          <w:lang w:val="en-GB"/>
        </w:rPr>
        <w:t>V4</w:t>
      </w:r>
      <w:r w:rsidR="006D28CC">
        <w:rPr>
          <w:lang w:val="en-GB"/>
        </w:rPr>
        <w:t xml:space="preserve"> countries a basis for lobbying the EU institutions to elaborate the details on exactly </w:t>
      </w:r>
      <w:r w:rsidR="0087661F">
        <w:rPr>
          <w:lang w:val="en-GB"/>
        </w:rPr>
        <w:t xml:space="preserve">how </w:t>
      </w:r>
      <w:r w:rsidR="006D28CC">
        <w:rPr>
          <w:lang w:val="en-GB"/>
        </w:rPr>
        <w:t xml:space="preserve">the EU will use transition experience. </w:t>
      </w:r>
    </w:p>
    <w:p w:rsidR="00870EA7" w:rsidRDefault="00870EA7" w:rsidP="00781441">
      <w:pPr>
        <w:spacing w:line="276" w:lineRule="auto"/>
        <w:rPr>
          <w:lang w:val="en-GB"/>
        </w:rPr>
      </w:pPr>
    </w:p>
    <w:p w:rsidR="00B67BCC" w:rsidRPr="004B0C50" w:rsidRDefault="00B67BCC" w:rsidP="00781441">
      <w:pPr>
        <w:spacing w:line="276" w:lineRule="auto"/>
        <w:jc w:val="both"/>
        <w:rPr>
          <w:lang w:val="en-GB"/>
        </w:rPr>
      </w:pPr>
      <w:r>
        <w:rPr>
          <w:lang w:val="en-GB"/>
        </w:rPr>
        <w:t xml:space="preserve">Operationalization of the Article 33 led to the second main tangible result. </w:t>
      </w:r>
      <w:r w:rsidR="0080625B">
        <w:rPr>
          <w:lang w:val="en-GB"/>
        </w:rPr>
        <w:t xml:space="preserve">The </w:t>
      </w:r>
      <w:r w:rsidR="0087661F">
        <w:rPr>
          <w:lang w:val="en-GB"/>
        </w:rPr>
        <w:t>EC</w:t>
      </w:r>
      <w:r w:rsidR="0080625B">
        <w:rPr>
          <w:lang w:val="en-GB"/>
        </w:rPr>
        <w:t xml:space="preserve"> saw the main obstacle to making greater use of transition experience in the ‘who knows what’ </w:t>
      </w:r>
      <w:r w:rsidR="0087661F">
        <w:rPr>
          <w:lang w:val="en-GB"/>
        </w:rPr>
        <w:t>problem</w:t>
      </w:r>
      <w:r w:rsidR="0080625B">
        <w:rPr>
          <w:lang w:val="en-GB"/>
        </w:rPr>
        <w:t>.</w:t>
      </w:r>
      <w:r w:rsidR="0080625B">
        <w:rPr>
          <w:rStyle w:val="FootnoteReference"/>
          <w:lang w:val="en-GB"/>
        </w:rPr>
        <w:footnoteReference w:id="4"/>
      </w:r>
      <w:r w:rsidR="0080625B">
        <w:rPr>
          <w:lang w:val="en-GB"/>
        </w:rPr>
        <w:t xml:space="preserve"> Before the EU could systematically capitalise on transition experience, it needed to know what this exactly was and which national level actors possess it. </w:t>
      </w:r>
      <w:r w:rsidR="005E7966">
        <w:rPr>
          <w:lang w:val="en-GB"/>
        </w:rPr>
        <w:t xml:space="preserve">The </w:t>
      </w:r>
      <w:r w:rsidR="008737A5">
        <w:rPr>
          <w:lang w:val="en-GB"/>
        </w:rPr>
        <w:t>V4</w:t>
      </w:r>
      <w:r w:rsidR="005E7966">
        <w:rPr>
          <w:lang w:val="en-GB"/>
        </w:rPr>
        <w:t xml:space="preserve"> countries</w:t>
      </w:r>
      <w:r w:rsidR="0080625B">
        <w:rPr>
          <w:lang w:val="en-GB"/>
        </w:rPr>
        <w:t xml:space="preserve"> were therefore asked to collect this information and report it to the </w:t>
      </w:r>
      <w:r w:rsidR="005E7966">
        <w:rPr>
          <w:lang w:val="en-GB"/>
        </w:rPr>
        <w:t>EC</w:t>
      </w:r>
      <w:r>
        <w:rPr>
          <w:lang w:val="en-GB"/>
        </w:rPr>
        <w:t xml:space="preserve">, which resulted in the publication of </w:t>
      </w:r>
      <w:r w:rsidR="00A8776D">
        <w:rPr>
          <w:lang w:val="en-GB"/>
        </w:rPr>
        <w:t>t</w:t>
      </w:r>
      <w:r w:rsidR="00A8776D" w:rsidRPr="004B0C50">
        <w:rPr>
          <w:lang w:val="en-GB"/>
        </w:rPr>
        <w:t>he European Transition Compendium</w:t>
      </w:r>
      <w:r w:rsidR="005E7966">
        <w:rPr>
          <w:lang w:val="en-GB"/>
        </w:rPr>
        <w:t xml:space="preserve"> (ETC)</w:t>
      </w:r>
      <w:r w:rsidR="00D01EAC">
        <w:rPr>
          <w:lang w:val="en-GB"/>
        </w:rPr>
        <w:t xml:space="preserve"> in 2011</w:t>
      </w:r>
      <w:r w:rsidR="00035397">
        <w:rPr>
          <w:lang w:val="en-GB"/>
        </w:rPr>
        <w:t xml:space="preserve"> (see Sanc</w:t>
      </w:r>
      <w:r w:rsidR="008E64D2">
        <w:rPr>
          <w:lang w:val="en-GB"/>
        </w:rPr>
        <w:t>h</w:t>
      </w:r>
      <w:r w:rsidR="00035397">
        <w:rPr>
          <w:lang w:val="en-GB"/>
        </w:rPr>
        <w:t>ez 2010)</w:t>
      </w:r>
      <w:r w:rsidR="00A8776D">
        <w:rPr>
          <w:lang w:val="en-GB"/>
        </w:rPr>
        <w:t>. Th</w:t>
      </w:r>
      <w:r w:rsidR="005E7966">
        <w:rPr>
          <w:lang w:val="en-GB"/>
        </w:rPr>
        <w:t>e Compendium</w:t>
      </w:r>
      <w:r w:rsidR="00A8776D">
        <w:rPr>
          <w:lang w:val="en-GB"/>
        </w:rPr>
        <w:t xml:space="preserve"> is basically a </w:t>
      </w:r>
      <w:r w:rsidR="00A8776D" w:rsidRPr="004B0C50">
        <w:rPr>
          <w:lang w:val="en-GB"/>
        </w:rPr>
        <w:t>collection of projects</w:t>
      </w:r>
      <w:r w:rsidR="00A8776D">
        <w:rPr>
          <w:lang w:val="en-GB"/>
        </w:rPr>
        <w:t>, best practices,</w:t>
      </w:r>
      <w:r w:rsidR="00A8776D" w:rsidRPr="004B0C50">
        <w:rPr>
          <w:lang w:val="en-GB"/>
        </w:rPr>
        <w:t xml:space="preserve"> and actor</w:t>
      </w:r>
      <w:r w:rsidR="005E7966">
        <w:rPr>
          <w:lang w:val="en-GB"/>
        </w:rPr>
        <w:t xml:space="preserve"> profile</w:t>
      </w:r>
      <w:r w:rsidR="00A8776D" w:rsidRPr="004B0C50">
        <w:rPr>
          <w:lang w:val="en-GB"/>
        </w:rPr>
        <w:t xml:space="preserve">s from the </w:t>
      </w:r>
      <w:r w:rsidR="008737A5">
        <w:rPr>
          <w:lang w:val="en-GB"/>
        </w:rPr>
        <w:t>V4</w:t>
      </w:r>
      <w:r w:rsidR="00A8776D" w:rsidRPr="004B0C50">
        <w:rPr>
          <w:lang w:val="en-GB"/>
        </w:rPr>
        <w:t xml:space="preserve"> countries which may represent transition experience</w:t>
      </w:r>
      <w:r w:rsidR="00A8776D">
        <w:rPr>
          <w:lang w:val="en-GB"/>
        </w:rPr>
        <w:t xml:space="preserve">, and could be of relevance </w:t>
      </w:r>
      <w:r w:rsidR="005E7966">
        <w:rPr>
          <w:lang w:val="en-GB"/>
        </w:rPr>
        <w:t xml:space="preserve">in </w:t>
      </w:r>
      <w:r w:rsidR="00A8776D">
        <w:rPr>
          <w:lang w:val="en-GB"/>
        </w:rPr>
        <w:t xml:space="preserve">international development. </w:t>
      </w:r>
      <w:r w:rsidR="00D01EAC">
        <w:rPr>
          <w:lang w:val="en-GB"/>
        </w:rPr>
        <w:t>The ETC was published both as a lengthy document, but also a</w:t>
      </w:r>
      <w:r w:rsidR="005E7966">
        <w:rPr>
          <w:lang w:val="en-GB"/>
        </w:rPr>
        <w:t>s a</w:t>
      </w:r>
      <w:r w:rsidR="00D01EAC">
        <w:rPr>
          <w:lang w:val="en-GB"/>
        </w:rPr>
        <w:t xml:space="preserve"> searchable online database, with the intention of allowing for future additions and making the ETC a ‘living’ project. </w:t>
      </w:r>
      <w:r w:rsidRPr="004B0C50">
        <w:rPr>
          <w:lang w:val="en-GB"/>
        </w:rPr>
        <w:t xml:space="preserve">However, the project seems </w:t>
      </w:r>
      <w:r w:rsidR="00D01EAC">
        <w:rPr>
          <w:lang w:val="en-GB"/>
        </w:rPr>
        <w:t xml:space="preserve">to have been </w:t>
      </w:r>
      <w:r w:rsidRPr="004B0C50">
        <w:rPr>
          <w:lang w:val="en-GB"/>
        </w:rPr>
        <w:t>‘dead on arrival’.</w:t>
      </w:r>
      <w:r w:rsidR="00D01EAC">
        <w:rPr>
          <w:lang w:val="en-GB"/>
        </w:rPr>
        <w:t xml:space="preserve"> The i</w:t>
      </w:r>
      <w:r w:rsidRPr="004B0C50">
        <w:rPr>
          <w:lang w:val="en-GB"/>
        </w:rPr>
        <w:t xml:space="preserve">nitial </w:t>
      </w:r>
      <w:r w:rsidR="00D01EAC">
        <w:rPr>
          <w:lang w:val="en-GB"/>
        </w:rPr>
        <w:t>content of the database was based on wha</w:t>
      </w:r>
      <w:r w:rsidRPr="004B0C50">
        <w:rPr>
          <w:lang w:val="en-GB"/>
        </w:rPr>
        <w:t xml:space="preserve">t the </w:t>
      </w:r>
      <w:r w:rsidR="008737A5">
        <w:rPr>
          <w:lang w:val="en-GB"/>
        </w:rPr>
        <w:t>V4</w:t>
      </w:r>
      <w:r w:rsidRPr="004B0C50">
        <w:rPr>
          <w:lang w:val="en-GB"/>
        </w:rPr>
        <w:t xml:space="preserve"> </w:t>
      </w:r>
      <w:r w:rsidR="005E7966">
        <w:rPr>
          <w:lang w:val="en-GB"/>
        </w:rPr>
        <w:t xml:space="preserve">countries </w:t>
      </w:r>
      <w:r w:rsidRPr="004B0C50">
        <w:rPr>
          <w:lang w:val="en-GB"/>
        </w:rPr>
        <w:t>themselves collected</w:t>
      </w:r>
      <w:r w:rsidR="00D01EAC">
        <w:rPr>
          <w:lang w:val="en-GB"/>
        </w:rPr>
        <w:t xml:space="preserve"> and reported to the Commission as transition experience.</w:t>
      </w:r>
      <w:r w:rsidRPr="004B0C50">
        <w:rPr>
          <w:lang w:val="en-GB"/>
        </w:rPr>
        <w:t xml:space="preserve"> </w:t>
      </w:r>
      <w:r w:rsidR="00D01EAC">
        <w:rPr>
          <w:lang w:val="en-GB"/>
        </w:rPr>
        <w:t>S</w:t>
      </w:r>
      <w:r w:rsidRPr="004B0C50">
        <w:rPr>
          <w:lang w:val="en-GB"/>
        </w:rPr>
        <w:t xml:space="preserve">ome countries </w:t>
      </w:r>
      <w:r w:rsidR="00D01EAC">
        <w:rPr>
          <w:lang w:val="en-GB"/>
        </w:rPr>
        <w:t xml:space="preserve">seem to have been </w:t>
      </w:r>
      <w:r w:rsidRPr="004B0C50">
        <w:rPr>
          <w:lang w:val="en-GB"/>
        </w:rPr>
        <w:t xml:space="preserve">more ambitious </w:t>
      </w:r>
      <w:r w:rsidR="00D01EAC">
        <w:rPr>
          <w:lang w:val="en-GB"/>
        </w:rPr>
        <w:t xml:space="preserve">in this </w:t>
      </w:r>
      <w:r w:rsidRPr="004B0C50">
        <w:rPr>
          <w:lang w:val="en-GB"/>
        </w:rPr>
        <w:t>than others</w:t>
      </w:r>
      <w:r w:rsidR="00D01EAC">
        <w:rPr>
          <w:lang w:val="en-GB"/>
        </w:rPr>
        <w:t xml:space="preserve">. </w:t>
      </w:r>
      <w:r w:rsidRPr="004B0C50">
        <w:rPr>
          <w:lang w:val="en-GB"/>
        </w:rPr>
        <w:t xml:space="preserve">Hungary </w:t>
      </w:r>
      <w:r w:rsidR="00D01EAC">
        <w:rPr>
          <w:lang w:val="en-GB"/>
        </w:rPr>
        <w:t xml:space="preserve">for example </w:t>
      </w:r>
      <w:r w:rsidRPr="004B0C50">
        <w:rPr>
          <w:lang w:val="en-GB"/>
        </w:rPr>
        <w:t xml:space="preserve">only </w:t>
      </w:r>
      <w:r w:rsidR="00D01EAC">
        <w:rPr>
          <w:lang w:val="en-GB"/>
        </w:rPr>
        <w:t xml:space="preserve">reported </w:t>
      </w:r>
      <w:r w:rsidRPr="004B0C50">
        <w:rPr>
          <w:lang w:val="en-GB"/>
        </w:rPr>
        <w:t>7</w:t>
      </w:r>
      <w:r w:rsidR="00D01EAC">
        <w:rPr>
          <w:lang w:val="en-GB"/>
        </w:rPr>
        <w:t xml:space="preserve"> projects, while</w:t>
      </w:r>
      <w:r w:rsidRPr="004B0C50">
        <w:rPr>
          <w:lang w:val="en-GB"/>
        </w:rPr>
        <w:t xml:space="preserve"> Estonia </w:t>
      </w:r>
      <w:r w:rsidR="00D01EAC">
        <w:rPr>
          <w:lang w:val="en-GB"/>
        </w:rPr>
        <w:t xml:space="preserve">added </w:t>
      </w:r>
      <w:r w:rsidRPr="004B0C50">
        <w:rPr>
          <w:lang w:val="en-GB"/>
        </w:rPr>
        <w:t>30 projects</w:t>
      </w:r>
      <w:r w:rsidR="00D01EAC">
        <w:rPr>
          <w:lang w:val="en-GB"/>
        </w:rPr>
        <w:t xml:space="preserve">, leading to about </w:t>
      </w:r>
      <w:r w:rsidR="005E7966">
        <w:rPr>
          <w:lang w:val="en-GB"/>
        </w:rPr>
        <w:t>300+</w:t>
      </w:r>
      <w:r w:rsidR="00D01EAC">
        <w:rPr>
          <w:lang w:val="en-GB"/>
        </w:rPr>
        <w:t xml:space="preserve"> projects in total</w:t>
      </w:r>
      <w:r w:rsidRPr="004B0C50">
        <w:rPr>
          <w:lang w:val="en-GB"/>
        </w:rPr>
        <w:t xml:space="preserve">. </w:t>
      </w:r>
      <w:r w:rsidR="00D01EAC">
        <w:rPr>
          <w:lang w:val="en-GB"/>
        </w:rPr>
        <w:t xml:space="preserve">It is curious why the </w:t>
      </w:r>
      <w:r w:rsidR="008737A5">
        <w:rPr>
          <w:lang w:val="en-GB"/>
        </w:rPr>
        <w:t>V4</w:t>
      </w:r>
      <w:r w:rsidR="00D01EAC">
        <w:rPr>
          <w:lang w:val="en-GB"/>
        </w:rPr>
        <w:t xml:space="preserve"> countries did not put a larger effort into collecting their transition experience, when they advocated the </w:t>
      </w:r>
      <w:r w:rsidR="00D01EAC">
        <w:rPr>
          <w:lang w:val="en-GB"/>
        </w:rPr>
        <w:lastRenderedPageBreak/>
        <w:t xml:space="preserve">issue themselves. Regular checks on the ETC database also reveal that the planned regular updates are not really happening, and the list of projects included has only marginally increased compared to the initial version. </w:t>
      </w:r>
      <w:r w:rsidR="00586E4C">
        <w:rPr>
          <w:lang w:val="en-GB"/>
        </w:rPr>
        <w:t>The failure of the ETC is implicitly acknowledged by the Commission (</w:t>
      </w:r>
      <w:r w:rsidR="005E7966">
        <w:rPr>
          <w:lang w:val="en-GB"/>
        </w:rPr>
        <w:t>European Commission 2012:</w:t>
      </w:r>
      <w:r w:rsidR="00A95CFC">
        <w:rPr>
          <w:lang w:val="en-GB"/>
        </w:rPr>
        <w:t xml:space="preserve"> 16) as it calls for a ‘</w:t>
      </w:r>
      <w:r w:rsidR="00586E4C">
        <w:rPr>
          <w:lang w:val="en-GB"/>
        </w:rPr>
        <w:t>broader p</w:t>
      </w:r>
      <w:r w:rsidR="00A95CFC">
        <w:rPr>
          <w:lang w:val="en-GB"/>
        </w:rPr>
        <w:t>latform’</w:t>
      </w:r>
      <w:r w:rsidR="00586E4C">
        <w:rPr>
          <w:lang w:val="en-GB"/>
        </w:rPr>
        <w:t xml:space="preserve"> for knowledge sharing, and has recently been favouring another portal, </w:t>
      </w:r>
      <w:r w:rsidR="00586E4C">
        <w:t>capacity4dev.</w:t>
      </w:r>
      <w:r w:rsidR="00A95CFC">
        <w:rPr>
          <w:rStyle w:val="FootnoteReference"/>
        </w:rPr>
        <w:footnoteReference w:id="5"/>
      </w:r>
      <w:r w:rsidR="00586E4C">
        <w:t xml:space="preserve"> </w:t>
      </w:r>
    </w:p>
    <w:p w:rsidR="00B67BCC" w:rsidRDefault="00B67BCC" w:rsidP="00781441">
      <w:pPr>
        <w:spacing w:line="276" w:lineRule="auto"/>
        <w:rPr>
          <w:lang w:val="en-GB"/>
        </w:rPr>
      </w:pPr>
    </w:p>
    <w:p w:rsidR="00D01EAC" w:rsidRDefault="00D01EAC" w:rsidP="00781441">
      <w:pPr>
        <w:spacing w:line="276" w:lineRule="auto"/>
        <w:jc w:val="both"/>
        <w:rPr>
          <w:lang w:val="en-GB"/>
        </w:rPr>
      </w:pPr>
      <w:r>
        <w:rPr>
          <w:lang w:val="en-GB"/>
        </w:rPr>
        <w:t xml:space="preserve">Clearly the </w:t>
      </w:r>
      <w:r w:rsidR="008737A5">
        <w:rPr>
          <w:lang w:val="en-GB"/>
        </w:rPr>
        <w:t>V4</w:t>
      </w:r>
      <w:r>
        <w:rPr>
          <w:lang w:val="en-GB"/>
        </w:rPr>
        <w:t xml:space="preserve"> countries were not satisfied with the way the EC was operationaliz</w:t>
      </w:r>
      <w:r w:rsidR="00787F52">
        <w:rPr>
          <w:lang w:val="en-GB"/>
        </w:rPr>
        <w:t>ing transition experience, and eight</w:t>
      </w:r>
      <w:r>
        <w:rPr>
          <w:lang w:val="en-GB"/>
        </w:rPr>
        <w:t xml:space="preserve"> of the</w:t>
      </w:r>
      <w:r w:rsidR="00787F52">
        <w:rPr>
          <w:lang w:val="en-GB"/>
        </w:rPr>
        <w:t>m</w:t>
      </w:r>
      <w:r>
        <w:rPr>
          <w:lang w:val="en-GB"/>
        </w:rPr>
        <w:t xml:space="preserve"> (with Poland and Bulgaria missing) presented a </w:t>
      </w:r>
      <w:r w:rsidR="00787F52">
        <w:rPr>
          <w:lang w:val="en-GB"/>
        </w:rPr>
        <w:t>short n</w:t>
      </w:r>
      <w:r>
        <w:rPr>
          <w:lang w:val="en-GB"/>
        </w:rPr>
        <w:t>on-</w:t>
      </w:r>
      <w:r w:rsidR="00787F52">
        <w:rPr>
          <w:lang w:val="en-GB"/>
        </w:rPr>
        <w:t>p</w:t>
      </w:r>
      <w:r>
        <w:rPr>
          <w:lang w:val="en-GB"/>
        </w:rPr>
        <w:t xml:space="preserve">aper in 2011 in which they called on the </w:t>
      </w:r>
      <w:r w:rsidR="00787F52">
        <w:rPr>
          <w:lang w:val="en-GB"/>
        </w:rPr>
        <w:t>EC</w:t>
      </w:r>
      <w:r>
        <w:rPr>
          <w:lang w:val="en-GB"/>
        </w:rPr>
        <w:t xml:space="preserve"> </w:t>
      </w:r>
      <w:r w:rsidR="0088643A">
        <w:rPr>
          <w:lang w:val="en-GB"/>
        </w:rPr>
        <w:t xml:space="preserve">to </w:t>
      </w:r>
      <w:r w:rsidR="00787F52">
        <w:rPr>
          <w:lang w:val="en-GB"/>
        </w:rPr>
        <w:t>‘</w:t>
      </w:r>
      <w:r w:rsidR="0088643A">
        <w:rPr>
          <w:lang w:val="en-GB"/>
        </w:rPr>
        <w:t>consider how to systematically employ transition experience in EU external action</w:t>
      </w:r>
      <w:r w:rsidR="00787F52">
        <w:rPr>
          <w:lang w:val="en-GB"/>
        </w:rPr>
        <w:t>’</w:t>
      </w:r>
      <w:r w:rsidR="0088643A">
        <w:rPr>
          <w:lang w:val="en-GB"/>
        </w:rPr>
        <w:t xml:space="preserve"> </w:t>
      </w:r>
      <w:r w:rsidR="00787F52">
        <w:rPr>
          <w:lang w:val="en-GB"/>
        </w:rPr>
        <w:t xml:space="preserve">(Non-paper 2011). </w:t>
      </w:r>
      <w:r w:rsidR="0088643A">
        <w:rPr>
          <w:lang w:val="en-GB"/>
        </w:rPr>
        <w:t>More specifically, it also called on maximizing the potential of financial instruments to use transition experience, and explicitly mentions earmarking funds dedicated to transition cooperation under the thematic programs of the EU’s Development Cooperation Instrument</w:t>
      </w:r>
      <w:r w:rsidR="00787F52">
        <w:rPr>
          <w:lang w:val="en-GB"/>
        </w:rPr>
        <w:t xml:space="preserve"> (DCI)</w:t>
      </w:r>
      <w:r w:rsidR="0088643A">
        <w:rPr>
          <w:lang w:val="en-GB"/>
        </w:rPr>
        <w:t>.</w:t>
      </w:r>
      <w:r w:rsidR="002D1286">
        <w:rPr>
          <w:lang w:val="en-GB"/>
        </w:rPr>
        <w:t xml:space="preserve"> This clearly revealed the financial interest that new member states have in uploading transi</w:t>
      </w:r>
      <w:r w:rsidR="00787F52">
        <w:rPr>
          <w:lang w:val="en-GB"/>
        </w:rPr>
        <w:t>tion experience to the EU level, as earmarking would allow their national actors easier access to EU funding for development projects.</w:t>
      </w:r>
    </w:p>
    <w:p w:rsidR="00D01EAC" w:rsidRDefault="00D01EAC" w:rsidP="00781441">
      <w:pPr>
        <w:spacing w:line="276" w:lineRule="auto"/>
        <w:rPr>
          <w:lang w:val="en-GB"/>
        </w:rPr>
      </w:pPr>
    </w:p>
    <w:p w:rsidR="002D1286" w:rsidRDefault="002D1286" w:rsidP="00781441">
      <w:pPr>
        <w:spacing w:line="276" w:lineRule="auto"/>
        <w:jc w:val="both"/>
        <w:rPr>
          <w:lang w:val="en-GB"/>
        </w:rPr>
      </w:pPr>
      <w:r>
        <w:rPr>
          <w:lang w:val="en-GB"/>
        </w:rPr>
        <w:t xml:space="preserve">The third tangible </w:t>
      </w:r>
      <w:r w:rsidR="00787F52">
        <w:rPr>
          <w:lang w:val="en-GB"/>
        </w:rPr>
        <w:t>result relates to a Commission c</w:t>
      </w:r>
      <w:r>
        <w:rPr>
          <w:lang w:val="en-GB"/>
        </w:rPr>
        <w:t xml:space="preserve">ommunication, heavily supported by the </w:t>
      </w:r>
      <w:r w:rsidR="008737A5">
        <w:rPr>
          <w:lang w:val="en-GB"/>
        </w:rPr>
        <w:t>V4</w:t>
      </w:r>
      <w:r>
        <w:rPr>
          <w:lang w:val="en-GB"/>
        </w:rPr>
        <w:t xml:space="preserve"> countries</w:t>
      </w:r>
      <w:r w:rsidR="00787F52">
        <w:rPr>
          <w:rStyle w:val="FootnoteReference"/>
          <w:lang w:val="en-GB"/>
        </w:rPr>
        <w:footnoteReference w:id="6"/>
      </w:r>
      <w:r>
        <w:rPr>
          <w:lang w:val="en-GB"/>
        </w:rPr>
        <w:t xml:space="preserve"> and endorsed by the Council in early 2013, entitled </w:t>
      </w:r>
      <w:r w:rsidRPr="00787F52">
        <w:rPr>
          <w:i/>
          <w:lang w:val="en-GB"/>
        </w:rPr>
        <w:t>Support for Sustainable Change in Transition Societies</w:t>
      </w:r>
      <w:r w:rsidR="00787F52">
        <w:rPr>
          <w:i/>
          <w:lang w:val="en-GB"/>
        </w:rPr>
        <w:t xml:space="preserve"> </w:t>
      </w:r>
      <w:r w:rsidR="00787F52">
        <w:rPr>
          <w:lang w:val="en-GB"/>
        </w:rPr>
        <w:t>(European Commission 2012)</w:t>
      </w:r>
      <w:r>
        <w:rPr>
          <w:lang w:val="en-GB"/>
        </w:rPr>
        <w:t>. The g</w:t>
      </w:r>
      <w:r w:rsidR="00787F52">
        <w:rPr>
          <w:lang w:val="en-GB"/>
        </w:rPr>
        <w:t>oal of the communication is to ‘</w:t>
      </w:r>
      <w:r w:rsidRPr="002D1286">
        <w:rPr>
          <w:lang w:val="en-GB"/>
        </w:rPr>
        <w:t xml:space="preserve">examine what the EU has to offer to help countries in transition achieve successful and sustainable transformations, </w:t>
      </w:r>
      <w:r w:rsidR="00787F52">
        <w:rPr>
          <w:lang w:val="en-GB"/>
        </w:rPr>
        <w:t>building on its own experiences’</w:t>
      </w:r>
      <w:r>
        <w:rPr>
          <w:lang w:val="en-GB"/>
        </w:rPr>
        <w:t xml:space="preserve"> (</w:t>
      </w:r>
      <w:r w:rsidR="00787F52">
        <w:rPr>
          <w:lang w:val="en-GB"/>
        </w:rPr>
        <w:t>European Commission 2012: 3). The c</w:t>
      </w:r>
      <w:r>
        <w:rPr>
          <w:lang w:val="en-GB"/>
        </w:rPr>
        <w:t>ommunication was driven mainly by external factors, i</w:t>
      </w:r>
      <w:r w:rsidR="00787F52">
        <w:rPr>
          <w:lang w:val="en-GB"/>
        </w:rPr>
        <w:t>.</w:t>
      </w:r>
      <w:r>
        <w:rPr>
          <w:lang w:val="en-GB"/>
        </w:rPr>
        <w:t>e. democratizations and transitions happening in the EU’s neighbourhood (</w:t>
      </w:r>
      <w:r w:rsidR="00673582">
        <w:rPr>
          <w:lang w:val="en-GB"/>
        </w:rPr>
        <w:t>primarily the Arab Spring</w:t>
      </w:r>
      <w:r>
        <w:rPr>
          <w:lang w:val="en-GB"/>
        </w:rPr>
        <w:t>) which raised a need for the EU to formulate a coherent way in responding to such events.</w:t>
      </w:r>
      <w:r w:rsidR="00586E4C">
        <w:rPr>
          <w:lang w:val="en-GB"/>
        </w:rPr>
        <w:t xml:space="preserve"> The communication again clearly refers to transition experience (‘</w:t>
      </w:r>
      <w:r w:rsidRPr="002D1286">
        <w:rPr>
          <w:lang w:val="en-GB"/>
        </w:rPr>
        <w:t>make efficient use of knowledge-sharing and capacity development methods, including the use of transition experience of EU Member States</w:t>
      </w:r>
      <w:r w:rsidR="00586E4C">
        <w:rPr>
          <w:lang w:val="en-GB"/>
        </w:rPr>
        <w:t>,</w:t>
      </w:r>
      <w:r w:rsidRPr="002D1286">
        <w:rPr>
          <w:lang w:val="en-GB"/>
        </w:rPr>
        <w:t xml:space="preserve"> </w:t>
      </w:r>
      <w:r w:rsidR="00673582">
        <w:rPr>
          <w:lang w:val="en-GB"/>
        </w:rPr>
        <w:t xml:space="preserve">European Commission 2012: </w:t>
      </w:r>
      <w:r w:rsidRPr="002D1286">
        <w:rPr>
          <w:lang w:val="en-GB"/>
        </w:rPr>
        <w:t>5)</w:t>
      </w:r>
      <w:r w:rsidR="00586E4C">
        <w:rPr>
          <w:lang w:val="en-GB"/>
        </w:rPr>
        <w:t xml:space="preserve">, and it also cites several examples of successful (and potentially transferable) reforms in the </w:t>
      </w:r>
      <w:r w:rsidR="008737A5">
        <w:rPr>
          <w:lang w:val="en-GB"/>
        </w:rPr>
        <w:t>V4</w:t>
      </w:r>
      <w:r w:rsidR="00586E4C">
        <w:rPr>
          <w:lang w:val="en-GB"/>
        </w:rPr>
        <w:t xml:space="preserve"> member states. </w:t>
      </w:r>
      <w:r>
        <w:rPr>
          <w:lang w:val="en-GB"/>
        </w:rPr>
        <w:t xml:space="preserve">More importantly however, the document stresses that transition processes should be recipient country driven, implying that it’s the recipient that should request assistance, and not the EU offer it. While this is </w:t>
      </w:r>
      <w:r w:rsidR="00673582">
        <w:rPr>
          <w:lang w:val="en-GB"/>
        </w:rPr>
        <w:t>desirable from a development</w:t>
      </w:r>
      <w:r>
        <w:rPr>
          <w:lang w:val="en-GB"/>
        </w:rPr>
        <w:t xml:space="preserve"> effectiveness perspective, it also takes off some of the pressure that the E</w:t>
      </w:r>
      <w:r w:rsidR="00673582">
        <w:rPr>
          <w:lang w:val="en-GB"/>
        </w:rPr>
        <w:t>C</w:t>
      </w:r>
      <w:r>
        <w:rPr>
          <w:lang w:val="en-GB"/>
        </w:rPr>
        <w:t xml:space="preserve"> faces from the </w:t>
      </w:r>
      <w:r w:rsidR="008737A5">
        <w:rPr>
          <w:lang w:val="en-GB"/>
        </w:rPr>
        <w:t>V4</w:t>
      </w:r>
      <w:r w:rsidR="00673582">
        <w:rPr>
          <w:lang w:val="en-GB"/>
        </w:rPr>
        <w:t xml:space="preserve"> countries in terms of operationalizing transition experience: </w:t>
      </w:r>
      <w:r>
        <w:rPr>
          <w:lang w:val="en-GB"/>
        </w:rPr>
        <w:t>it</w:t>
      </w:r>
      <w:r w:rsidR="00586E4C">
        <w:rPr>
          <w:lang w:val="en-GB"/>
        </w:rPr>
        <w:t xml:space="preserve"> </w:t>
      </w:r>
      <w:r w:rsidR="00673582">
        <w:rPr>
          <w:lang w:val="en-GB"/>
        </w:rPr>
        <w:t>is now up to the partners under transition to request a transfer of experience</w:t>
      </w:r>
      <w:r w:rsidR="00586E4C">
        <w:rPr>
          <w:lang w:val="en-GB"/>
        </w:rPr>
        <w:t xml:space="preserve">. This wording definitely weakens the position of the </w:t>
      </w:r>
      <w:r w:rsidR="008737A5">
        <w:rPr>
          <w:lang w:val="en-GB"/>
        </w:rPr>
        <w:t>V4</w:t>
      </w:r>
      <w:r w:rsidR="00586E4C">
        <w:rPr>
          <w:lang w:val="en-GB"/>
        </w:rPr>
        <w:t xml:space="preserve"> countries in calling on the EU to</w:t>
      </w:r>
      <w:r w:rsidR="00AF6BB1">
        <w:rPr>
          <w:lang w:val="en-GB"/>
        </w:rPr>
        <w:t xml:space="preserve"> do more. </w:t>
      </w:r>
    </w:p>
    <w:p w:rsidR="00673582" w:rsidRDefault="00673582" w:rsidP="00781441">
      <w:pPr>
        <w:spacing w:line="276" w:lineRule="auto"/>
        <w:rPr>
          <w:lang w:val="en-GB"/>
        </w:rPr>
      </w:pPr>
    </w:p>
    <w:p w:rsidR="00127922" w:rsidRDefault="00571D8C" w:rsidP="00781441">
      <w:pPr>
        <w:spacing w:line="276" w:lineRule="auto"/>
        <w:jc w:val="both"/>
        <w:rPr>
          <w:lang w:val="en-GB"/>
        </w:rPr>
      </w:pPr>
      <w:r>
        <w:rPr>
          <w:lang w:val="en-GB"/>
        </w:rPr>
        <w:t>Concerning the practical side of using transition experience</w:t>
      </w:r>
      <w:r w:rsidR="005C669E">
        <w:rPr>
          <w:lang w:val="en-GB"/>
        </w:rPr>
        <w:t>, the e</w:t>
      </w:r>
      <w:r w:rsidR="0088643A">
        <w:rPr>
          <w:lang w:val="en-GB"/>
        </w:rPr>
        <w:t>armarki</w:t>
      </w:r>
      <w:r w:rsidR="00E161B6">
        <w:rPr>
          <w:lang w:val="en-GB"/>
        </w:rPr>
        <w:t xml:space="preserve">ng of EU funds has not happened. </w:t>
      </w:r>
      <w:r w:rsidR="00127922">
        <w:rPr>
          <w:lang w:val="en-GB"/>
        </w:rPr>
        <w:t xml:space="preserve">Szent-Iványi (2014) has shown that actors (mainly NGOs, but also government agencies) from the </w:t>
      </w:r>
      <w:r w:rsidR="008737A5">
        <w:rPr>
          <w:lang w:val="en-GB"/>
        </w:rPr>
        <w:t>V4</w:t>
      </w:r>
      <w:r w:rsidR="00127922">
        <w:rPr>
          <w:lang w:val="en-GB"/>
        </w:rPr>
        <w:t xml:space="preserve"> member states do rather poorly in winning EU financed international development related grants and contracts in the Eastern Neighbourhood countries, where </w:t>
      </w:r>
      <w:r w:rsidR="008737A5">
        <w:rPr>
          <w:lang w:val="en-GB"/>
        </w:rPr>
        <w:t>V4</w:t>
      </w:r>
      <w:r w:rsidR="00127922">
        <w:rPr>
          <w:lang w:val="en-GB"/>
        </w:rPr>
        <w:t xml:space="preserve"> </w:t>
      </w:r>
      <w:r w:rsidR="00127922">
        <w:rPr>
          <w:lang w:val="en-GB"/>
        </w:rPr>
        <w:lastRenderedPageBreak/>
        <w:t>transition experience can be most relevant.</w:t>
      </w:r>
      <w:r w:rsidR="00233D7E">
        <w:rPr>
          <w:rStyle w:val="FootnoteReference"/>
          <w:lang w:val="en-GB"/>
        </w:rPr>
        <w:footnoteReference w:id="7"/>
      </w:r>
      <w:r w:rsidR="00127922">
        <w:rPr>
          <w:lang w:val="en-GB"/>
        </w:rPr>
        <w:t xml:space="preserve"> Zázvorkova (2011) finds most of the EU funding that these actors do win is actually given for domestic development education and awareness raising projects, which does not entail any international transfer of transition experience. </w:t>
      </w:r>
      <w:r w:rsidR="00163019">
        <w:rPr>
          <w:lang w:val="en-GB"/>
        </w:rPr>
        <w:t xml:space="preserve">Earmarking DCI or other funds may thus be seen by the </w:t>
      </w:r>
      <w:r w:rsidR="008737A5">
        <w:rPr>
          <w:lang w:val="en-GB"/>
        </w:rPr>
        <w:t>V4</w:t>
      </w:r>
      <w:r w:rsidR="00163019">
        <w:rPr>
          <w:lang w:val="en-GB"/>
        </w:rPr>
        <w:t xml:space="preserve"> countries as a way of increasing their opportunities to win EU grants.</w:t>
      </w:r>
    </w:p>
    <w:p w:rsidR="00127922" w:rsidRDefault="00127922" w:rsidP="00781441">
      <w:pPr>
        <w:spacing w:line="276" w:lineRule="auto"/>
        <w:rPr>
          <w:lang w:val="en-GB"/>
        </w:rPr>
      </w:pPr>
    </w:p>
    <w:p w:rsidR="00127922" w:rsidRDefault="00163019" w:rsidP="00781441">
      <w:pPr>
        <w:spacing w:line="276" w:lineRule="auto"/>
        <w:jc w:val="both"/>
        <w:rPr>
          <w:lang w:val="en-GB"/>
        </w:rPr>
      </w:pPr>
      <w:r>
        <w:rPr>
          <w:lang w:val="en-GB"/>
        </w:rPr>
        <w:t xml:space="preserve">Based on the above, </w:t>
      </w:r>
      <w:r w:rsidR="00204E2D">
        <w:rPr>
          <w:lang w:val="en-GB"/>
        </w:rPr>
        <w:t xml:space="preserve">we </w:t>
      </w:r>
      <w:r>
        <w:rPr>
          <w:lang w:val="en-GB"/>
        </w:rPr>
        <w:t xml:space="preserve">argue that transition experience has only entered the EU’s development policy on a rhetorical level, and has not strongly informed the Commission’s development practice. As evidenced by the 2011 non-paper, and the lack of any substantial developments since, </w:t>
      </w:r>
      <w:r w:rsidR="008737A5">
        <w:rPr>
          <w:lang w:val="en-GB"/>
        </w:rPr>
        <w:t>V4</w:t>
      </w:r>
      <w:r>
        <w:rPr>
          <w:lang w:val="en-GB"/>
        </w:rPr>
        <w:t xml:space="preserve"> countries clearly feel that the EU is not doing enough in ‘mainstreaming’ their transition experience into the Community’s development policy. The following section examines the explanations for the relative weakness of the </w:t>
      </w:r>
      <w:r w:rsidR="008737A5">
        <w:rPr>
          <w:lang w:val="en-GB"/>
        </w:rPr>
        <w:t>V4</w:t>
      </w:r>
      <w:r>
        <w:rPr>
          <w:lang w:val="en-GB"/>
        </w:rPr>
        <w:t xml:space="preserve"> states in uploading their policy preferences onto the EU.</w:t>
      </w:r>
    </w:p>
    <w:p w:rsidR="00781441" w:rsidRDefault="00781441" w:rsidP="00781441">
      <w:pPr>
        <w:spacing w:line="276" w:lineRule="auto"/>
        <w:jc w:val="both"/>
        <w:rPr>
          <w:lang w:val="en-GB"/>
        </w:rPr>
      </w:pPr>
    </w:p>
    <w:p w:rsidR="00781441" w:rsidRDefault="00781441" w:rsidP="00781441">
      <w:pPr>
        <w:spacing w:line="276" w:lineRule="auto"/>
        <w:jc w:val="both"/>
        <w:rPr>
          <w:lang w:val="en-GB"/>
        </w:rPr>
      </w:pPr>
    </w:p>
    <w:p w:rsidR="0025799C" w:rsidRPr="004B0C50" w:rsidRDefault="004E1BEE" w:rsidP="00781441">
      <w:pPr>
        <w:spacing w:line="276" w:lineRule="auto"/>
        <w:rPr>
          <w:b/>
          <w:lang w:val="en-GB"/>
        </w:rPr>
      </w:pPr>
      <w:r>
        <w:rPr>
          <w:b/>
          <w:lang w:val="en-GB"/>
        </w:rPr>
        <w:t>5</w:t>
      </w:r>
      <w:r w:rsidR="007E6FBE" w:rsidRPr="004B0C50">
        <w:rPr>
          <w:b/>
          <w:lang w:val="en-GB"/>
        </w:rPr>
        <w:t xml:space="preserve">. </w:t>
      </w:r>
      <w:r w:rsidR="00163019">
        <w:rPr>
          <w:b/>
          <w:lang w:val="en-GB"/>
        </w:rPr>
        <w:t>But why only limited success?</w:t>
      </w:r>
    </w:p>
    <w:p w:rsidR="0025799C" w:rsidRDefault="0025799C" w:rsidP="00781441">
      <w:pPr>
        <w:spacing w:line="276" w:lineRule="auto"/>
        <w:rPr>
          <w:lang w:val="en-GB"/>
        </w:rPr>
      </w:pPr>
    </w:p>
    <w:p w:rsidR="004E1BEE" w:rsidRDefault="00781441" w:rsidP="00781441">
      <w:pPr>
        <w:spacing w:line="276" w:lineRule="auto"/>
        <w:jc w:val="both"/>
        <w:rPr>
          <w:lang w:val="en-GB"/>
        </w:rPr>
      </w:pPr>
      <w:r>
        <w:rPr>
          <w:lang w:val="en-GB"/>
        </w:rPr>
        <w:t xml:space="preserve">There are a number of factors which can explain why the </w:t>
      </w:r>
      <w:r w:rsidR="008737A5">
        <w:rPr>
          <w:lang w:val="en-GB"/>
        </w:rPr>
        <w:t>V4</w:t>
      </w:r>
      <w:r>
        <w:rPr>
          <w:lang w:val="en-GB"/>
        </w:rPr>
        <w:t xml:space="preserve"> countries have not had as much influence on EU development policy as hoped. We present these below, along </w:t>
      </w:r>
      <w:r w:rsidR="004E1BEE">
        <w:rPr>
          <w:lang w:val="en-GB"/>
        </w:rPr>
        <w:t xml:space="preserve">the </w:t>
      </w:r>
      <w:r>
        <w:rPr>
          <w:lang w:val="en-GB"/>
        </w:rPr>
        <w:t>lines of the framework elaborated in S</w:t>
      </w:r>
      <w:r w:rsidR="004E1BEE">
        <w:rPr>
          <w:lang w:val="en-GB"/>
        </w:rPr>
        <w:t>ection 2.</w:t>
      </w:r>
    </w:p>
    <w:p w:rsidR="004E1BEE" w:rsidRDefault="004E1BEE" w:rsidP="00781441">
      <w:pPr>
        <w:spacing w:line="276" w:lineRule="auto"/>
        <w:rPr>
          <w:lang w:val="en-GB"/>
        </w:rPr>
      </w:pPr>
    </w:p>
    <w:p w:rsidR="004E1BEE" w:rsidRDefault="004E1BEE" w:rsidP="00781441">
      <w:pPr>
        <w:spacing w:line="276" w:lineRule="auto"/>
        <w:rPr>
          <w:b/>
          <w:i/>
          <w:lang w:val="en-GB"/>
        </w:rPr>
      </w:pPr>
      <w:r w:rsidRPr="00A8776D">
        <w:rPr>
          <w:b/>
          <w:i/>
          <w:lang w:val="en-GB"/>
        </w:rPr>
        <w:t>Intensity of policy preferences</w:t>
      </w:r>
    </w:p>
    <w:p w:rsidR="00781441" w:rsidRPr="00A8776D" w:rsidRDefault="00781441" w:rsidP="00781441">
      <w:pPr>
        <w:spacing w:line="276" w:lineRule="auto"/>
        <w:rPr>
          <w:b/>
          <w:i/>
          <w:lang w:val="en-GB"/>
        </w:rPr>
      </w:pPr>
    </w:p>
    <w:p w:rsidR="00781441" w:rsidRDefault="00A8776D" w:rsidP="00781441">
      <w:pPr>
        <w:spacing w:line="276" w:lineRule="auto"/>
        <w:jc w:val="both"/>
        <w:rPr>
          <w:lang w:val="en-GB"/>
        </w:rPr>
      </w:pPr>
      <w:r>
        <w:rPr>
          <w:lang w:val="en-GB"/>
        </w:rPr>
        <w:t>As shown above, transition experience can be seen as the constituting narrative</w:t>
      </w:r>
      <w:r w:rsidR="00B670D7">
        <w:rPr>
          <w:lang w:val="en-GB"/>
        </w:rPr>
        <w:t xml:space="preserve"> of development policies in the </w:t>
      </w:r>
      <w:r w:rsidR="008737A5">
        <w:rPr>
          <w:lang w:val="en-GB"/>
        </w:rPr>
        <w:t>V4</w:t>
      </w:r>
      <w:r w:rsidR="00B670D7">
        <w:rPr>
          <w:lang w:val="en-GB"/>
        </w:rPr>
        <w:t xml:space="preserve"> countries. </w:t>
      </w:r>
      <w:r w:rsidR="00781441">
        <w:rPr>
          <w:lang w:val="en-GB"/>
        </w:rPr>
        <w:t>None the less, d</w:t>
      </w:r>
      <w:r>
        <w:rPr>
          <w:lang w:val="en-GB"/>
        </w:rPr>
        <w:t xml:space="preserve">evelopment policy </w:t>
      </w:r>
      <w:r w:rsidR="00781441">
        <w:rPr>
          <w:lang w:val="en-GB"/>
        </w:rPr>
        <w:t>itself</w:t>
      </w:r>
      <w:r>
        <w:rPr>
          <w:lang w:val="en-GB"/>
        </w:rPr>
        <w:t xml:space="preserve"> cannot be by any means seen as a priority policy area for the </w:t>
      </w:r>
      <w:r w:rsidR="008737A5">
        <w:rPr>
          <w:lang w:val="en-GB"/>
        </w:rPr>
        <w:t>V4</w:t>
      </w:r>
      <w:r>
        <w:rPr>
          <w:lang w:val="en-GB"/>
        </w:rPr>
        <w:t xml:space="preserve"> countries. </w:t>
      </w:r>
      <w:r w:rsidR="00781441" w:rsidRPr="004B0C50">
        <w:rPr>
          <w:lang w:val="en-GB"/>
        </w:rPr>
        <w:t xml:space="preserve">The </w:t>
      </w:r>
      <w:r w:rsidR="008737A5">
        <w:rPr>
          <w:lang w:val="en-GB"/>
        </w:rPr>
        <w:t>V4</w:t>
      </w:r>
      <w:r w:rsidR="00781441" w:rsidRPr="004B0C50">
        <w:rPr>
          <w:lang w:val="en-GB"/>
        </w:rPr>
        <w:t xml:space="preserve"> countries are relatively newcomers to the field of development policy. While they did have experience in international cooperation with developing countries during the Communist-era, these policies were terminated after 1989. Most observers agree that it was EU accession conditionality which made these countries restart international development, although with a highly different face than their pre-1989 policies. Also while in rhetoric the </w:t>
      </w:r>
      <w:r w:rsidR="008737A5">
        <w:rPr>
          <w:lang w:val="en-GB"/>
        </w:rPr>
        <w:t>V4</w:t>
      </w:r>
      <w:r w:rsidR="00781441" w:rsidRPr="004B0C50">
        <w:rPr>
          <w:lang w:val="en-GB"/>
        </w:rPr>
        <w:t xml:space="preserve"> </w:t>
      </w:r>
      <w:r w:rsidR="00781441">
        <w:rPr>
          <w:lang w:val="en-GB"/>
        </w:rPr>
        <w:t>countries accept all the norms and</w:t>
      </w:r>
      <w:r w:rsidR="00781441" w:rsidRPr="004B0C50">
        <w:rPr>
          <w:lang w:val="en-GB"/>
        </w:rPr>
        <w:t xml:space="preserve"> principles of the OECD DAC style Western international development system, in practice they are often </w:t>
      </w:r>
      <w:r w:rsidR="00781441">
        <w:rPr>
          <w:lang w:val="en-GB"/>
        </w:rPr>
        <w:t xml:space="preserve">far from actually implementing them (see </w:t>
      </w:r>
      <w:hyperlink r:id="rId9" w:tooltip="search for all books by Ondřej Horký-Hlucháň" w:history="1">
        <w:r w:rsidR="00781441" w:rsidRPr="001151CD">
          <w:t>Horký-Hlucháň</w:t>
        </w:r>
      </w:hyperlink>
      <w:r w:rsidR="00781441">
        <w:t xml:space="preserve"> and Lightfoot 2012).</w:t>
      </w:r>
      <w:r w:rsidR="00D1783C">
        <w:t xml:space="preserve"> </w:t>
      </w:r>
      <w:r w:rsidR="00D1783C" w:rsidRPr="00D1783C">
        <w:rPr>
          <w:lang w:val="en-GB"/>
        </w:rPr>
        <w:t xml:space="preserve">The low salience of development policy can be explained by </w:t>
      </w:r>
      <w:r w:rsidR="00D1783C">
        <w:rPr>
          <w:lang w:val="en-GB"/>
        </w:rPr>
        <w:t xml:space="preserve">the fact there generally the domestic constituencies for giving aid are rather weak in the </w:t>
      </w:r>
      <w:r w:rsidR="008737A5">
        <w:rPr>
          <w:lang w:val="en-GB"/>
        </w:rPr>
        <w:t>V4</w:t>
      </w:r>
      <w:r w:rsidR="00D1783C">
        <w:rPr>
          <w:lang w:val="en-GB"/>
        </w:rPr>
        <w:t xml:space="preserve"> countries. National NGOs are weak and lack capacities, and public opinion is also less supportive as in the case of the more established donors</w:t>
      </w:r>
      <w:r w:rsidR="00A2410A">
        <w:rPr>
          <w:lang w:val="en-GB"/>
        </w:rPr>
        <w:t xml:space="preserve">. </w:t>
      </w:r>
    </w:p>
    <w:p w:rsidR="00A2410A" w:rsidRDefault="00A2410A" w:rsidP="00781441">
      <w:pPr>
        <w:spacing w:line="276" w:lineRule="auto"/>
        <w:jc w:val="both"/>
        <w:rPr>
          <w:lang w:val="en-GB"/>
        </w:rPr>
      </w:pPr>
    </w:p>
    <w:p w:rsidR="00650706" w:rsidRDefault="00781441" w:rsidP="00D1783C">
      <w:pPr>
        <w:spacing w:line="276" w:lineRule="auto"/>
        <w:jc w:val="both"/>
        <w:rPr>
          <w:lang w:val="en-GB"/>
        </w:rPr>
      </w:pPr>
      <w:r>
        <w:rPr>
          <w:lang w:val="en-GB"/>
        </w:rPr>
        <w:lastRenderedPageBreak/>
        <w:t xml:space="preserve">This is reflected in the way these countries participate in the work of CODEV. </w:t>
      </w:r>
      <w:r w:rsidR="00FC4CF8" w:rsidRPr="00FC4CF8">
        <w:rPr>
          <w:lang w:val="en-GB"/>
        </w:rPr>
        <w:t xml:space="preserve">An official from the EEAS noted that the </w:t>
      </w:r>
      <w:r w:rsidR="008737A5">
        <w:rPr>
          <w:lang w:val="en-GB"/>
        </w:rPr>
        <w:t>V4</w:t>
      </w:r>
      <w:r>
        <w:rPr>
          <w:lang w:val="en-GB"/>
        </w:rPr>
        <w:t xml:space="preserve"> states</w:t>
      </w:r>
      <w:r w:rsidR="00FC4CF8" w:rsidRPr="00FC4CF8">
        <w:rPr>
          <w:lang w:val="en-GB"/>
        </w:rPr>
        <w:t xml:space="preserve"> ‘tend to be on the quieter side, while representatives from the UK</w:t>
      </w:r>
      <w:r w:rsidR="00D1783C">
        <w:rPr>
          <w:lang w:val="en-GB"/>
        </w:rPr>
        <w:t xml:space="preserve"> or France tend to talk</w:t>
      </w:r>
      <w:r w:rsidR="00FC4CF8">
        <w:rPr>
          <w:lang w:val="en-GB"/>
        </w:rPr>
        <w:t xml:space="preserve"> </w:t>
      </w:r>
      <w:r w:rsidR="00D1783C">
        <w:rPr>
          <w:lang w:val="en-GB"/>
        </w:rPr>
        <w:t xml:space="preserve">a </w:t>
      </w:r>
      <w:r w:rsidR="00FC4CF8">
        <w:rPr>
          <w:lang w:val="en-GB"/>
        </w:rPr>
        <w:t>lot’.</w:t>
      </w:r>
      <w:r>
        <w:rPr>
          <w:rStyle w:val="FootnoteReference"/>
          <w:lang w:val="en-GB"/>
        </w:rPr>
        <w:footnoteReference w:id="8"/>
      </w:r>
      <w:r w:rsidR="00FC4CF8">
        <w:rPr>
          <w:lang w:val="en-GB"/>
        </w:rPr>
        <w:t xml:space="preserve"> </w:t>
      </w:r>
      <w:r w:rsidR="00FC4CF8" w:rsidRPr="00FC4CF8">
        <w:rPr>
          <w:lang w:val="en-GB"/>
        </w:rPr>
        <w:t xml:space="preserve">Some </w:t>
      </w:r>
      <w:r w:rsidR="008737A5">
        <w:rPr>
          <w:lang w:val="en-GB"/>
        </w:rPr>
        <w:t>V4</w:t>
      </w:r>
      <w:r w:rsidR="00FC4CF8" w:rsidRPr="00FC4CF8">
        <w:rPr>
          <w:lang w:val="en-GB"/>
        </w:rPr>
        <w:t xml:space="preserve"> diplomats clearly felt that they are treated as outsiders in the policy area by both the </w:t>
      </w:r>
      <w:r>
        <w:rPr>
          <w:lang w:val="en-GB"/>
        </w:rPr>
        <w:t>older members</w:t>
      </w:r>
      <w:r w:rsidR="00FC4CF8" w:rsidRPr="00FC4CF8">
        <w:rPr>
          <w:lang w:val="en-GB"/>
        </w:rPr>
        <w:t xml:space="preserve"> and the EC.</w:t>
      </w:r>
      <w:r w:rsidR="00FC4CF8">
        <w:rPr>
          <w:lang w:val="en-GB"/>
        </w:rPr>
        <w:t xml:space="preserve"> </w:t>
      </w:r>
      <w:r w:rsidR="00D1783C">
        <w:rPr>
          <w:lang w:val="en-GB"/>
        </w:rPr>
        <w:t>As stated by a diplomat: ‘We have little to contribute to this policy area’.</w:t>
      </w:r>
      <w:r w:rsidR="00D1783C">
        <w:rPr>
          <w:rStyle w:val="FootnoteReference"/>
          <w:lang w:val="en-GB"/>
        </w:rPr>
        <w:footnoteReference w:id="9"/>
      </w:r>
      <w:r w:rsidR="00D1783C">
        <w:rPr>
          <w:lang w:val="en-GB"/>
        </w:rPr>
        <w:t xml:space="preserve"> </w:t>
      </w:r>
      <w:r w:rsidR="004D47E3">
        <w:rPr>
          <w:lang w:val="en-GB"/>
        </w:rPr>
        <w:t xml:space="preserve">Thus, we have an interesting situation: </w:t>
      </w:r>
      <w:r>
        <w:rPr>
          <w:lang w:val="en-GB"/>
        </w:rPr>
        <w:t xml:space="preserve">the </w:t>
      </w:r>
      <w:r w:rsidR="008737A5">
        <w:rPr>
          <w:lang w:val="en-GB"/>
        </w:rPr>
        <w:t>V4</w:t>
      </w:r>
      <w:r>
        <w:rPr>
          <w:lang w:val="en-GB"/>
        </w:rPr>
        <w:t xml:space="preserve"> countries seem to have a </w:t>
      </w:r>
      <w:r w:rsidR="004D47E3">
        <w:rPr>
          <w:lang w:val="en-GB"/>
        </w:rPr>
        <w:t>strong preference</w:t>
      </w:r>
      <w:r>
        <w:rPr>
          <w:lang w:val="en-GB"/>
        </w:rPr>
        <w:t xml:space="preserve"> (mainstreaming transition experience), </w:t>
      </w:r>
      <w:r w:rsidR="004D47E3">
        <w:rPr>
          <w:lang w:val="en-GB"/>
        </w:rPr>
        <w:t xml:space="preserve">in a low salience policy area, which may indicate that member state policy </w:t>
      </w:r>
      <w:r w:rsidR="005D2ECF">
        <w:rPr>
          <w:lang w:val="en-GB"/>
        </w:rPr>
        <w:t>specialist</w:t>
      </w:r>
      <w:r>
        <w:rPr>
          <w:lang w:val="en-GB"/>
        </w:rPr>
        <w:t>s</w:t>
      </w:r>
      <w:r w:rsidR="004D47E3">
        <w:rPr>
          <w:lang w:val="en-GB"/>
        </w:rPr>
        <w:t xml:space="preserve"> will do all they can, but will receive little support from their national government</w:t>
      </w:r>
      <w:r>
        <w:rPr>
          <w:lang w:val="en-GB"/>
        </w:rPr>
        <w:t>s</w:t>
      </w:r>
      <w:r w:rsidR="004D47E3">
        <w:rPr>
          <w:lang w:val="en-GB"/>
        </w:rPr>
        <w:t>.</w:t>
      </w:r>
      <w:r w:rsidR="002A0FC2">
        <w:rPr>
          <w:lang w:val="en-GB"/>
        </w:rPr>
        <w:t xml:space="preserve"> </w:t>
      </w:r>
    </w:p>
    <w:p w:rsidR="00D1783C" w:rsidRDefault="00D1783C" w:rsidP="00781441">
      <w:pPr>
        <w:spacing w:line="276" w:lineRule="auto"/>
        <w:rPr>
          <w:lang w:val="en-GB"/>
        </w:rPr>
      </w:pPr>
    </w:p>
    <w:p w:rsidR="004E1BEE" w:rsidRPr="00A8776D" w:rsidRDefault="004E1BEE" w:rsidP="00781441">
      <w:pPr>
        <w:spacing w:line="276" w:lineRule="auto"/>
        <w:rPr>
          <w:b/>
          <w:i/>
          <w:lang w:val="en-GB"/>
        </w:rPr>
      </w:pPr>
      <w:r w:rsidRPr="00A8776D">
        <w:rPr>
          <w:b/>
          <w:i/>
          <w:lang w:val="en-GB"/>
        </w:rPr>
        <w:t>Skills at alliance building and bargaining</w:t>
      </w:r>
    </w:p>
    <w:p w:rsidR="00A67311" w:rsidRDefault="00A67311" w:rsidP="00781441">
      <w:pPr>
        <w:spacing w:line="276" w:lineRule="auto"/>
        <w:rPr>
          <w:lang w:val="en-GB"/>
        </w:rPr>
      </w:pPr>
    </w:p>
    <w:p w:rsidR="002A0AFA" w:rsidRDefault="00A67311" w:rsidP="002A1216">
      <w:pPr>
        <w:spacing w:line="276" w:lineRule="auto"/>
        <w:jc w:val="both"/>
        <w:rPr>
          <w:lang w:val="en-GB"/>
        </w:rPr>
      </w:pPr>
      <w:r>
        <w:rPr>
          <w:lang w:val="en-GB"/>
        </w:rPr>
        <w:t>Copeland (2013</w:t>
      </w:r>
      <w:r w:rsidR="00D1783C">
        <w:rPr>
          <w:lang w:val="en-GB"/>
        </w:rPr>
        <w:t>: 483-4</w:t>
      </w:r>
      <w:r>
        <w:rPr>
          <w:lang w:val="en-GB"/>
        </w:rPr>
        <w:t>)</w:t>
      </w:r>
      <w:r w:rsidR="006C13E4">
        <w:rPr>
          <w:lang w:val="en-GB"/>
        </w:rPr>
        <w:t xml:space="preserve"> </w:t>
      </w:r>
      <w:r>
        <w:rPr>
          <w:lang w:val="en-GB"/>
        </w:rPr>
        <w:t>argues tha</w:t>
      </w:r>
      <w:r w:rsidR="006C13E4">
        <w:rPr>
          <w:lang w:val="en-GB"/>
        </w:rPr>
        <w:t xml:space="preserve">t </w:t>
      </w:r>
      <w:r w:rsidRPr="00A67311">
        <w:rPr>
          <w:lang w:val="en-GB"/>
        </w:rPr>
        <w:t>the new member states are still grappling with the</w:t>
      </w:r>
      <w:r w:rsidR="006C13E4">
        <w:rPr>
          <w:lang w:val="en-GB"/>
        </w:rPr>
        <w:t xml:space="preserve"> </w:t>
      </w:r>
      <w:r w:rsidRPr="00A67311">
        <w:rPr>
          <w:lang w:val="en-GB"/>
        </w:rPr>
        <w:t xml:space="preserve">complexities </w:t>
      </w:r>
      <w:r w:rsidR="006C13E4">
        <w:rPr>
          <w:lang w:val="en-GB"/>
        </w:rPr>
        <w:t xml:space="preserve">of being successful negotiators, although they are aware of this and are attempting to improve their position. However, he argues that they remain junior partners within the </w:t>
      </w:r>
      <w:r w:rsidRPr="00A67311">
        <w:rPr>
          <w:lang w:val="en-GB"/>
        </w:rPr>
        <w:t>broader European</w:t>
      </w:r>
      <w:r w:rsidR="006C13E4">
        <w:rPr>
          <w:lang w:val="en-GB"/>
        </w:rPr>
        <w:t xml:space="preserve"> </w:t>
      </w:r>
      <w:r w:rsidRPr="00A67311">
        <w:rPr>
          <w:lang w:val="en-GB"/>
        </w:rPr>
        <w:t>integration process and their best hope of improving this situation would be to form stronger</w:t>
      </w:r>
      <w:r w:rsidR="006C13E4">
        <w:rPr>
          <w:lang w:val="en-GB"/>
        </w:rPr>
        <w:t xml:space="preserve"> </w:t>
      </w:r>
      <w:r w:rsidRPr="00A67311">
        <w:rPr>
          <w:lang w:val="en-GB"/>
        </w:rPr>
        <w:t>links with</w:t>
      </w:r>
      <w:r w:rsidR="006C13E4">
        <w:rPr>
          <w:lang w:val="en-GB"/>
        </w:rPr>
        <w:t xml:space="preserve"> the large/richer member states. </w:t>
      </w:r>
      <w:r w:rsidR="002A0FC2">
        <w:rPr>
          <w:lang w:val="en-GB"/>
        </w:rPr>
        <w:t>In the field of external relations broadly defined</w:t>
      </w:r>
      <w:r w:rsidR="00D1783C">
        <w:rPr>
          <w:lang w:val="en-GB"/>
        </w:rPr>
        <w:t>,</w:t>
      </w:r>
      <w:r w:rsidR="002A0FC2">
        <w:rPr>
          <w:lang w:val="en-GB"/>
        </w:rPr>
        <w:t xml:space="preserve"> there are few examples of successful coalition building. </w:t>
      </w:r>
      <w:r w:rsidR="006C13E4">
        <w:rPr>
          <w:lang w:val="en-GB"/>
        </w:rPr>
        <w:t xml:space="preserve">A pertinent example of this is the alliance built by Poland with Sweden to push ahead with the </w:t>
      </w:r>
      <w:r w:rsidRPr="00A67311">
        <w:rPr>
          <w:lang w:val="en-GB"/>
        </w:rPr>
        <w:t>Eastern Partnership</w:t>
      </w:r>
      <w:r w:rsidR="006C13E4">
        <w:rPr>
          <w:lang w:val="en-GB"/>
        </w:rPr>
        <w:t xml:space="preserve">. Part of the success can be attributed to the fact that </w:t>
      </w:r>
      <w:r w:rsidRPr="00A67311">
        <w:rPr>
          <w:lang w:val="en-GB"/>
        </w:rPr>
        <w:t>Sweden</w:t>
      </w:r>
      <w:r w:rsidR="006C13E4">
        <w:rPr>
          <w:lang w:val="en-GB"/>
        </w:rPr>
        <w:t xml:space="preserve"> is seen a</w:t>
      </w:r>
      <w:r w:rsidRPr="00A67311">
        <w:rPr>
          <w:lang w:val="en-GB"/>
        </w:rPr>
        <w:t>s an effective EU player</w:t>
      </w:r>
      <w:r w:rsidR="00AD66F5">
        <w:rPr>
          <w:lang w:val="en-GB"/>
        </w:rPr>
        <w:t xml:space="preserve"> and that the policy was pitched as an EU preference, something we discuss below</w:t>
      </w:r>
      <w:r w:rsidRPr="00A67311">
        <w:rPr>
          <w:lang w:val="en-GB"/>
        </w:rPr>
        <w:t xml:space="preserve"> (Kaminska 2013</w:t>
      </w:r>
      <w:r w:rsidR="00D1783C">
        <w:rPr>
          <w:lang w:val="en-GB"/>
        </w:rPr>
        <w:t>:</w:t>
      </w:r>
      <w:r w:rsidRPr="00A67311">
        <w:rPr>
          <w:lang w:val="en-GB"/>
        </w:rPr>
        <w:t xml:space="preserve"> 31).</w:t>
      </w:r>
      <w:r w:rsidR="002A0FC2">
        <w:rPr>
          <w:lang w:val="en-GB"/>
        </w:rPr>
        <w:t xml:space="preserve"> However, given the topic under discussion it is per</w:t>
      </w:r>
      <w:r w:rsidR="00D1783C">
        <w:rPr>
          <w:lang w:val="en-GB"/>
        </w:rPr>
        <w:t xml:space="preserve">haps surprising that the </w:t>
      </w:r>
      <w:r w:rsidR="002A1216">
        <w:rPr>
          <w:lang w:val="en-GB"/>
        </w:rPr>
        <w:t>V4</w:t>
      </w:r>
      <w:r w:rsidR="00D1783C">
        <w:rPr>
          <w:lang w:val="en-GB"/>
        </w:rPr>
        <w:t xml:space="preserve"> </w:t>
      </w:r>
      <w:r w:rsidR="00093EDE">
        <w:rPr>
          <w:lang w:val="en-GB"/>
        </w:rPr>
        <w:t>is a less than effective grouping</w:t>
      </w:r>
      <w:r w:rsidR="00E161B6">
        <w:rPr>
          <w:lang w:val="en-GB"/>
        </w:rPr>
        <w:t xml:space="preserve"> than its membership suggests</w:t>
      </w:r>
      <w:r w:rsidR="00093EDE">
        <w:rPr>
          <w:lang w:val="en-GB"/>
        </w:rPr>
        <w:t xml:space="preserve"> </w:t>
      </w:r>
      <w:r w:rsidR="002A0FC2">
        <w:rPr>
          <w:lang w:val="en-GB"/>
        </w:rPr>
        <w:t>(Dangerfield 2009</w:t>
      </w:r>
      <w:r w:rsidR="00E161B6">
        <w:rPr>
          <w:lang w:val="en-GB"/>
        </w:rPr>
        <w:t>). However, more recent research (</w:t>
      </w:r>
      <w:r w:rsidR="00D1783C">
        <w:rPr>
          <w:lang w:val="en-GB"/>
        </w:rPr>
        <w:t>Törő</w:t>
      </w:r>
      <w:r w:rsidR="00093EDE">
        <w:rPr>
          <w:lang w:val="en-GB"/>
        </w:rPr>
        <w:t xml:space="preserve"> </w:t>
      </w:r>
      <w:r w:rsidR="00093EDE" w:rsidRPr="00D1783C">
        <w:rPr>
          <w:i/>
          <w:lang w:val="en-GB"/>
        </w:rPr>
        <w:t>et al</w:t>
      </w:r>
      <w:r w:rsidR="00D1783C">
        <w:rPr>
          <w:lang w:val="en-GB"/>
        </w:rPr>
        <w:t>.</w:t>
      </w:r>
      <w:r w:rsidR="00093EDE">
        <w:rPr>
          <w:lang w:val="en-GB"/>
        </w:rPr>
        <w:t xml:space="preserve"> 2014)</w:t>
      </w:r>
      <w:r w:rsidR="00D1783C">
        <w:rPr>
          <w:lang w:val="en-GB"/>
        </w:rPr>
        <w:t xml:space="preserve"> highlights that the Visegrá</w:t>
      </w:r>
      <w:r w:rsidR="00E161B6">
        <w:rPr>
          <w:lang w:val="en-GB"/>
        </w:rPr>
        <w:t xml:space="preserve">d states are learning the lessons of the past </w:t>
      </w:r>
      <w:r w:rsidR="00D1783C">
        <w:rPr>
          <w:lang w:val="en-GB"/>
        </w:rPr>
        <w:t>ten</w:t>
      </w:r>
      <w:r w:rsidR="00E161B6">
        <w:rPr>
          <w:lang w:val="en-GB"/>
        </w:rPr>
        <w:t xml:space="preserve"> years of membership and </w:t>
      </w:r>
      <w:r w:rsidR="000E26DB">
        <w:rPr>
          <w:lang w:val="en-GB"/>
        </w:rPr>
        <w:t xml:space="preserve">as a result </w:t>
      </w:r>
      <w:r w:rsidR="002A1216">
        <w:rPr>
          <w:lang w:val="en-GB"/>
        </w:rPr>
        <w:t>the group has</w:t>
      </w:r>
      <w:r w:rsidR="000E26DB">
        <w:rPr>
          <w:lang w:val="en-GB"/>
        </w:rPr>
        <w:t xml:space="preserve"> the potential to become a </w:t>
      </w:r>
      <w:r w:rsidR="002A1216">
        <w:rPr>
          <w:lang w:val="en-GB"/>
        </w:rPr>
        <w:t>more effective sub-</w:t>
      </w:r>
      <w:r w:rsidR="000E26DB">
        <w:rPr>
          <w:lang w:val="en-GB"/>
        </w:rPr>
        <w:t>regional grouping within the EU. O</w:t>
      </w:r>
      <w:r w:rsidR="002A0AFA" w:rsidRPr="00093EDE">
        <w:rPr>
          <w:lang w:val="en-GB"/>
        </w:rPr>
        <w:t>nderco</w:t>
      </w:r>
      <w:r w:rsidR="002A1216">
        <w:rPr>
          <w:lang w:val="en-GB"/>
        </w:rPr>
        <w:t>’s</w:t>
      </w:r>
      <w:r w:rsidR="000E26DB">
        <w:rPr>
          <w:lang w:val="en-GB"/>
        </w:rPr>
        <w:t xml:space="preserve"> (2014) study of V4 voting in UN suggests a large degree of foreign policy coherence and that it may just be that the V4 states have taken time to learn how to play the Brussels game. </w:t>
      </w:r>
    </w:p>
    <w:p w:rsidR="00373257" w:rsidRDefault="00373257" w:rsidP="00781441">
      <w:pPr>
        <w:spacing w:line="276" w:lineRule="auto"/>
        <w:rPr>
          <w:lang w:val="en-GB"/>
        </w:rPr>
      </w:pPr>
    </w:p>
    <w:p w:rsidR="005D29D8" w:rsidRDefault="002A1216" w:rsidP="002B340E">
      <w:pPr>
        <w:spacing w:line="276" w:lineRule="auto"/>
        <w:jc w:val="both"/>
        <w:rPr>
          <w:lang w:val="en-GB"/>
        </w:rPr>
      </w:pPr>
      <w:r>
        <w:rPr>
          <w:lang w:val="en-GB"/>
        </w:rPr>
        <w:t xml:space="preserve">There is evidence that the V4 </w:t>
      </w:r>
      <w:r w:rsidR="008737A5">
        <w:rPr>
          <w:lang w:val="en-GB"/>
        </w:rPr>
        <w:t xml:space="preserve">states </w:t>
      </w:r>
      <w:r w:rsidR="00AB126F">
        <w:rPr>
          <w:lang w:val="en-GB"/>
        </w:rPr>
        <w:t>work together in CODEV</w:t>
      </w:r>
      <w:r>
        <w:rPr>
          <w:lang w:val="en-GB"/>
        </w:rPr>
        <w:t xml:space="preserve">. The V4 countries </w:t>
      </w:r>
      <w:r w:rsidR="00AB126F">
        <w:rPr>
          <w:lang w:val="en-GB"/>
        </w:rPr>
        <w:t>have agreed to coordinate their development policy priorities vis-à-vis the EU institutions.</w:t>
      </w:r>
      <w:r w:rsidR="002B340E">
        <w:rPr>
          <w:rStyle w:val="FootnoteReference"/>
          <w:lang w:val="en-GB"/>
        </w:rPr>
        <w:footnoteReference w:id="10"/>
      </w:r>
      <w:r w:rsidR="00AB126F">
        <w:rPr>
          <w:lang w:val="en-GB"/>
        </w:rPr>
        <w:t xml:space="preserve"> More broadly, the CODEV diplomats of the member states joining after 2004 have regular weekly breakfast meetings with a representative of the EC.</w:t>
      </w:r>
      <w:r w:rsidR="002B340E">
        <w:rPr>
          <w:rStyle w:val="FootnoteReference"/>
          <w:lang w:val="en-GB"/>
        </w:rPr>
        <w:footnoteReference w:id="11"/>
      </w:r>
      <w:r w:rsidR="00AB126F">
        <w:rPr>
          <w:lang w:val="en-GB"/>
        </w:rPr>
        <w:t xml:space="preserve"> </w:t>
      </w:r>
      <w:r>
        <w:rPr>
          <w:lang w:val="en-GB"/>
        </w:rPr>
        <w:t>External observers see the</w:t>
      </w:r>
      <w:r w:rsidR="00AB126F">
        <w:rPr>
          <w:lang w:val="en-GB"/>
        </w:rPr>
        <w:t xml:space="preserve"> </w:t>
      </w:r>
      <w:r w:rsidR="008737A5">
        <w:rPr>
          <w:lang w:val="en-GB"/>
        </w:rPr>
        <w:t>V4</w:t>
      </w:r>
      <w:r w:rsidR="00AB126F">
        <w:rPr>
          <w:lang w:val="en-GB"/>
        </w:rPr>
        <w:t xml:space="preserve"> countries</w:t>
      </w:r>
      <w:r>
        <w:rPr>
          <w:lang w:val="en-GB"/>
        </w:rPr>
        <w:t xml:space="preserve"> as presenting a rather unified front when it comes to transition experience.</w:t>
      </w:r>
      <w:r w:rsidR="002B340E">
        <w:rPr>
          <w:rStyle w:val="FootnoteReference"/>
          <w:lang w:val="en-GB"/>
        </w:rPr>
        <w:footnoteReference w:id="12"/>
      </w:r>
      <w:r w:rsidR="00AB126F">
        <w:rPr>
          <w:lang w:val="en-GB"/>
        </w:rPr>
        <w:t xml:space="preserve"> </w:t>
      </w:r>
      <w:r w:rsidR="002B340E">
        <w:rPr>
          <w:lang w:val="en-GB"/>
        </w:rPr>
        <w:t xml:space="preserve">However, there is evidence of occasional break downs in this unified front, such as the failure to get Poland (and Bulgaria) to endorse the 2011 non-paper. The </w:t>
      </w:r>
      <w:r w:rsidR="008737A5">
        <w:rPr>
          <w:lang w:val="en-GB"/>
        </w:rPr>
        <w:t>V4</w:t>
      </w:r>
      <w:r w:rsidR="002B340E">
        <w:rPr>
          <w:lang w:val="en-GB"/>
        </w:rPr>
        <w:t xml:space="preserve"> countries also </w:t>
      </w:r>
      <w:r w:rsidR="00AB126F">
        <w:rPr>
          <w:lang w:val="en-GB"/>
        </w:rPr>
        <w:t>seem to fail when it comes to building alliances with the older member states, something which was crucial in the success of the Eastern Partnership.</w:t>
      </w:r>
    </w:p>
    <w:p w:rsidR="00A30D1C" w:rsidRDefault="00A30D1C" w:rsidP="00781441">
      <w:pPr>
        <w:spacing w:line="276" w:lineRule="auto"/>
        <w:rPr>
          <w:lang w:val="en-GB"/>
        </w:rPr>
      </w:pPr>
    </w:p>
    <w:p w:rsidR="004E1BEE" w:rsidRPr="00A8776D" w:rsidRDefault="004E1BEE" w:rsidP="00781441">
      <w:pPr>
        <w:spacing w:line="276" w:lineRule="auto"/>
        <w:rPr>
          <w:b/>
          <w:i/>
          <w:lang w:val="en-GB"/>
        </w:rPr>
      </w:pPr>
      <w:r w:rsidRPr="00A8776D">
        <w:rPr>
          <w:b/>
          <w:i/>
          <w:lang w:val="en-GB"/>
        </w:rPr>
        <w:lastRenderedPageBreak/>
        <w:t>Capacities</w:t>
      </w:r>
    </w:p>
    <w:p w:rsidR="004E1BEE" w:rsidRDefault="004E1BEE" w:rsidP="00781441">
      <w:pPr>
        <w:spacing w:line="276" w:lineRule="auto"/>
        <w:rPr>
          <w:lang w:val="en-GB"/>
        </w:rPr>
      </w:pPr>
    </w:p>
    <w:p w:rsidR="00FC4CF8" w:rsidRDefault="000E26DB" w:rsidP="00A1367D">
      <w:pPr>
        <w:spacing w:line="276" w:lineRule="auto"/>
        <w:jc w:val="both"/>
        <w:rPr>
          <w:lang w:val="en-GB"/>
        </w:rPr>
      </w:pPr>
      <w:r>
        <w:rPr>
          <w:lang w:val="en-GB"/>
        </w:rPr>
        <w:t xml:space="preserve">The </w:t>
      </w:r>
      <w:r w:rsidR="008737A5">
        <w:rPr>
          <w:lang w:val="en-GB"/>
        </w:rPr>
        <w:t>V4</w:t>
      </w:r>
      <w:r>
        <w:rPr>
          <w:lang w:val="en-GB"/>
        </w:rPr>
        <w:t xml:space="preserve"> states generally have more limited capacities in relation to personnel and expertise than many of the older member states. An analysis of </w:t>
      </w:r>
      <w:r w:rsidR="00E258B4">
        <w:rPr>
          <w:lang w:val="en-GB"/>
        </w:rPr>
        <w:t xml:space="preserve">total </w:t>
      </w:r>
      <w:r>
        <w:rPr>
          <w:lang w:val="en-GB"/>
        </w:rPr>
        <w:t>staffing levels generally in relation to development highlight the weaknesses with staff levels ranging from 52 in Poland to 11 in Hun</w:t>
      </w:r>
      <w:r w:rsidR="002B340E">
        <w:rPr>
          <w:lang w:val="en-GB"/>
        </w:rPr>
        <w:t>gary (CRPE</w:t>
      </w:r>
      <w:r>
        <w:rPr>
          <w:lang w:val="en-GB"/>
        </w:rPr>
        <w:t xml:space="preserve"> 2013). To put this into context, </w:t>
      </w:r>
      <w:r w:rsidRPr="000E26DB">
        <w:rPr>
          <w:lang w:val="en-GB"/>
        </w:rPr>
        <w:t>Luxembourg co-operation</w:t>
      </w:r>
      <w:r>
        <w:rPr>
          <w:lang w:val="en-GB"/>
        </w:rPr>
        <w:t xml:space="preserve"> was seen to be ‘</w:t>
      </w:r>
      <w:r w:rsidRPr="000E26DB">
        <w:rPr>
          <w:lang w:val="en-GB"/>
        </w:rPr>
        <w:t>sparsely staffed</w:t>
      </w:r>
      <w:r>
        <w:rPr>
          <w:lang w:val="en-GB"/>
        </w:rPr>
        <w:t xml:space="preserve">’ by a DAC peer review team with </w:t>
      </w:r>
      <w:r w:rsidRPr="000E26DB">
        <w:rPr>
          <w:lang w:val="en-GB"/>
        </w:rPr>
        <w:t>42 employees</w:t>
      </w:r>
      <w:r>
        <w:rPr>
          <w:lang w:val="en-GB"/>
        </w:rPr>
        <w:t xml:space="preserve"> in the MFA and 54 in </w:t>
      </w:r>
      <w:r w:rsidRPr="000E26DB">
        <w:rPr>
          <w:lang w:val="en-GB"/>
        </w:rPr>
        <w:t>LuxDev</w:t>
      </w:r>
      <w:r w:rsidR="00E258B4">
        <w:rPr>
          <w:lang w:val="en-GB"/>
        </w:rPr>
        <w:t>, the agency</w:t>
      </w:r>
      <w:r w:rsidR="002B340E">
        <w:rPr>
          <w:lang w:val="en-GB"/>
        </w:rPr>
        <w:t xml:space="preserve"> (OECD 2012: 61)</w:t>
      </w:r>
      <w:r w:rsidR="00E258B4">
        <w:rPr>
          <w:lang w:val="en-GB"/>
        </w:rPr>
        <w:t xml:space="preserve">. This general lack of capacity is compounded by the fact that CODEV reps from the </w:t>
      </w:r>
      <w:r w:rsidR="008737A5">
        <w:rPr>
          <w:lang w:val="en-GB"/>
        </w:rPr>
        <w:t>V4</w:t>
      </w:r>
      <w:r w:rsidR="00A1367D">
        <w:rPr>
          <w:lang w:val="en-GB"/>
        </w:rPr>
        <w:t xml:space="preserve"> states</w:t>
      </w:r>
      <w:r w:rsidR="00E258B4">
        <w:rPr>
          <w:lang w:val="en-GB"/>
        </w:rPr>
        <w:t xml:space="preserve"> often lack a strong background in development due to their status as </w:t>
      </w:r>
      <w:r w:rsidR="00A1367D">
        <w:rPr>
          <w:lang w:val="en-GB"/>
        </w:rPr>
        <w:t xml:space="preserve">career </w:t>
      </w:r>
      <w:r w:rsidR="00E258B4">
        <w:rPr>
          <w:lang w:val="en-GB"/>
        </w:rPr>
        <w:t xml:space="preserve">diplomats. </w:t>
      </w:r>
      <w:r w:rsidR="00A1367D">
        <w:rPr>
          <w:lang w:val="en-GB"/>
        </w:rPr>
        <w:t>This also</w:t>
      </w:r>
      <w:r w:rsidR="00E258B4">
        <w:rPr>
          <w:lang w:val="en-GB"/>
        </w:rPr>
        <w:t xml:space="preserve"> means that they a</w:t>
      </w:r>
      <w:r w:rsidR="00A1367D">
        <w:rPr>
          <w:lang w:val="en-GB"/>
        </w:rPr>
        <w:t>re</w:t>
      </w:r>
      <w:r w:rsidR="00E258B4">
        <w:rPr>
          <w:lang w:val="en-GB"/>
        </w:rPr>
        <w:t xml:space="preserve"> subject to a policy of </w:t>
      </w:r>
      <w:r w:rsidR="00A1367D">
        <w:rPr>
          <w:lang w:val="en-GB"/>
        </w:rPr>
        <w:t xml:space="preserve">staff </w:t>
      </w:r>
      <w:r w:rsidR="00E258B4">
        <w:rPr>
          <w:lang w:val="en-GB"/>
        </w:rPr>
        <w:t>rotation</w:t>
      </w:r>
      <w:r w:rsidR="00A1367D">
        <w:rPr>
          <w:lang w:val="en-GB"/>
        </w:rPr>
        <w:t>.</w:t>
      </w:r>
      <w:r w:rsidR="00FC4CF8" w:rsidRPr="00FC4CF8">
        <w:rPr>
          <w:lang w:val="en-GB"/>
        </w:rPr>
        <w:t xml:space="preserve"> MFAs have little staff capacities </w:t>
      </w:r>
      <w:r w:rsidR="00A1367D">
        <w:rPr>
          <w:lang w:val="en-GB"/>
        </w:rPr>
        <w:t xml:space="preserve">and </w:t>
      </w:r>
      <w:r w:rsidR="00FC4CF8" w:rsidRPr="00FC4CF8">
        <w:rPr>
          <w:lang w:val="en-GB"/>
        </w:rPr>
        <w:t xml:space="preserve">they rarely give detailed </w:t>
      </w:r>
      <w:r w:rsidR="00FC4CF8">
        <w:rPr>
          <w:lang w:val="en-GB"/>
        </w:rPr>
        <w:t>instructions to CODEV diplomats, who are often new to post and learning the rules of the game</w:t>
      </w:r>
      <w:r w:rsidR="006A2D9C">
        <w:rPr>
          <w:lang w:val="en-GB"/>
        </w:rPr>
        <w:t xml:space="preserve"> (</w:t>
      </w:r>
      <w:r w:rsidR="00A1367D" w:rsidRPr="00035397">
        <w:rPr>
          <w:lang w:val="en-US"/>
        </w:rPr>
        <w:t>Bilčík</w:t>
      </w:r>
      <w:r w:rsidR="006A2D9C">
        <w:rPr>
          <w:lang w:val="en-GB"/>
        </w:rPr>
        <w:t xml:space="preserve"> 2010)</w:t>
      </w:r>
      <w:r w:rsidR="00FC4CF8">
        <w:rPr>
          <w:lang w:val="en-GB"/>
        </w:rPr>
        <w:t xml:space="preserve">. </w:t>
      </w:r>
      <w:r w:rsidR="007C5492">
        <w:rPr>
          <w:lang w:val="en-GB"/>
        </w:rPr>
        <w:t>One official complained that they ‘</w:t>
      </w:r>
      <w:r w:rsidR="007C5492" w:rsidRPr="007C5492">
        <w:rPr>
          <w:lang w:val="en-GB"/>
        </w:rPr>
        <w:t>struggle a lot for feedback</w:t>
      </w:r>
      <w:r w:rsidR="007C5492">
        <w:rPr>
          <w:lang w:val="en-GB"/>
        </w:rPr>
        <w:t>’</w:t>
      </w:r>
      <w:r w:rsidR="007C5492" w:rsidRPr="007C5492">
        <w:rPr>
          <w:lang w:val="en-GB"/>
        </w:rPr>
        <w:t>.</w:t>
      </w:r>
      <w:r w:rsidR="007C5492">
        <w:rPr>
          <w:rStyle w:val="FootnoteReference"/>
          <w:lang w:val="en-GB"/>
        </w:rPr>
        <w:footnoteReference w:id="13"/>
      </w:r>
      <w:r w:rsidR="007C5492" w:rsidRPr="007C5492">
        <w:rPr>
          <w:lang w:val="en-GB"/>
        </w:rPr>
        <w:t xml:space="preserve"> </w:t>
      </w:r>
      <w:r w:rsidR="006A2D9C">
        <w:rPr>
          <w:lang w:val="en-GB"/>
        </w:rPr>
        <w:t xml:space="preserve">The relative under representation of </w:t>
      </w:r>
      <w:r w:rsidR="008737A5">
        <w:rPr>
          <w:lang w:val="en-GB"/>
        </w:rPr>
        <w:t>V4</w:t>
      </w:r>
      <w:r w:rsidR="006A2D9C">
        <w:rPr>
          <w:lang w:val="en-GB"/>
        </w:rPr>
        <w:t xml:space="preserve"> officials within the EU institutions does not help in this regard (</w:t>
      </w:r>
      <w:r w:rsidR="00A1367D" w:rsidRPr="00035397">
        <w:rPr>
          <w:lang w:val="en-US"/>
        </w:rPr>
        <w:t>Bilčík</w:t>
      </w:r>
      <w:r w:rsidR="006A2D9C">
        <w:rPr>
          <w:lang w:val="en-GB"/>
        </w:rPr>
        <w:t xml:space="preserve"> 2010).</w:t>
      </w:r>
      <w:r w:rsidR="00AC3D97">
        <w:rPr>
          <w:lang w:val="en-GB"/>
        </w:rPr>
        <w:t xml:space="preserve"> </w:t>
      </w:r>
      <w:r w:rsidR="00FC4CF8">
        <w:rPr>
          <w:lang w:val="en-GB"/>
        </w:rPr>
        <w:t xml:space="preserve">There is also an unwillingness to ask for advice from other member states or the EU institutions and to not avail </w:t>
      </w:r>
      <w:r w:rsidR="005D2ECF">
        <w:rPr>
          <w:lang w:val="en-GB"/>
        </w:rPr>
        <w:t>themselves</w:t>
      </w:r>
      <w:r w:rsidR="00FC4CF8">
        <w:rPr>
          <w:lang w:val="en-GB"/>
        </w:rPr>
        <w:t xml:space="preserve"> of the networking opportunities open to CODEV of</w:t>
      </w:r>
      <w:r w:rsidR="00A1367D">
        <w:rPr>
          <w:lang w:val="en-GB"/>
        </w:rPr>
        <w:t>ficials (Lightfoot and Szent-Ivá</w:t>
      </w:r>
      <w:r w:rsidR="00FC4CF8">
        <w:rPr>
          <w:lang w:val="en-GB"/>
        </w:rPr>
        <w:t xml:space="preserve">nyi 2014). </w:t>
      </w:r>
    </w:p>
    <w:p w:rsidR="00FC4CF8" w:rsidRDefault="00FC4CF8" w:rsidP="00781441">
      <w:pPr>
        <w:spacing w:line="276" w:lineRule="auto"/>
        <w:rPr>
          <w:lang w:val="en-GB"/>
        </w:rPr>
      </w:pPr>
    </w:p>
    <w:p w:rsidR="007B75CC" w:rsidRPr="006907AC" w:rsidRDefault="00A1367D" w:rsidP="00A1367D">
      <w:pPr>
        <w:spacing w:line="276" w:lineRule="auto"/>
        <w:jc w:val="both"/>
        <w:rPr>
          <w:rFonts w:eastAsia="Calibri"/>
          <w:lang w:val="en-US"/>
        </w:rPr>
      </w:pPr>
      <w:r>
        <w:rPr>
          <w:lang w:val="en-GB"/>
        </w:rPr>
        <w:t>None the less,</w:t>
      </w:r>
      <w:r w:rsidR="00E258B4">
        <w:rPr>
          <w:lang w:val="en-GB"/>
        </w:rPr>
        <w:t xml:space="preserve"> institutional memory</w:t>
      </w:r>
      <w:r>
        <w:rPr>
          <w:lang w:val="en-GB"/>
        </w:rPr>
        <w:t xml:space="preserve"> is improving,</w:t>
      </w:r>
      <w:r w:rsidR="00E258B4">
        <w:rPr>
          <w:lang w:val="en-GB"/>
        </w:rPr>
        <w:t xml:space="preserve"> as it </w:t>
      </w:r>
      <w:r>
        <w:rPr>
          <w:lang w:val="en-GB"/>
        </w:rPr>
        <w:t>wa</w:t>
      </w:r>
      <w:r w:rsidR="00E258B4">
        <w:rPr>
          <w:lang w:val="en-GB"/>
        </w:rPr>
        <w:t xml:space="preserve">s noted that </w:t>
      </w:r>
      <w:r w:rsidR="00E258B4" w:rsidRPr="00E258B4">
        <w:rPr>
          <w:lang w:val="en-GB"/>
        </w:rPr>
        <w:t>‘every new [</w:t>
      </w:r>
      <w:r w:rsidR="008737A5">
        <w:rPr>
          <w:lang w:val="en-GB"/>
        </w:rPr>
        <w:t>V4</w:t>
      </w:r>
      <w:r w:rsidR="00E258B4" w:rsidRPr="00E258B4">
        <w:rPr>
          <w:lang w:val="en-GB"/>
        </w:rPr>
        <w:t>] representative</w:t>
      </w:r>
      <w:r>
        <w:rPr>
          <w:lang w:val="en-GB"/>
        </w:rPr>
        <w:t xml:space="preserve"> [in CODEV] </w:t>
      </w:r>
      <w:r w:rsidR="00E258B4" w:rsidRPr="00E258B4">
        <w:rPr>
          <w:lang w:val="en-GB"/>
        </w:rPr>
        <w:t>is a bit better than the previous one was when (s</w:t>
      </w:r>
      <w:proofErr w:type="gramStart"/>
      <w:r w:rsidR="00E258B4" w:rsidRPr="00E258B4">
        <w:rPr>
          <w:lang w:val="en-GB"/>
        </w:rPr>
        <w:t>)he</w:t>
      </w:r>
      <w:proofErr w:type="gramEnd"/>
      <w:r w:rsidR="00E258B4" w:rsidRPr="00E258B4">
        <w:rPr>
          <w:lang w:val="en-GB"/>
        </w:rPr>
        <w:t xml:space="preserve"> had been new’</w:t>
      </w:r>
      <w:r>
        <w:rPr>
          <w:lang w:val="en-GB"/>
        </w:rPr>
        <w:t>,</w:t>
      </w:r>
      <w:r w:rsidR="00E258B4" w:rsidRPr="00E258B4">
        <w:rPr>
          <w:lang w:val="en-GB"/>
        </w:rPr>
        <w:t xml:space="preserve"> in a sense that they have better understandings of development issues and more knowledge </w:t>
      </w:r>
      <w:r w:rsidR="00E258B4">
        <w:rPr>
          <w:lang w:val="en-GB"/>
        </w:rPr>
        <w:t>on how development policy works (se</w:t>
      </w:r>
      <w:r>
        <w:rPr>
          <w:lang w:val="en-GB"/>
        </w:rPr>
        <w:t>e Lightfoot and Szent-Iványi</w:t>
      </w:r>
      <w:r w:rsidR="00E258B4">
        <w:rPr>
          <w:lang w:val="en-GB"/>
        </w:rPr>
        <w:t xml:space="preserve"> 2014). In relation to staff, rotation may be perceived to be a good thing given the low status of development within the career structure of the MFA. There is a clear sense from the informal DAC peer reviews that development is not seen as a great career move</w:t>
      </w:r>
      <w:r w:rsidR="00EE4E32">
        <w:rPr>
          <w:lang w:val="en-GB"/>
        </w:rPr>
        <w:t xml:space="preserve">. </w:t>
      </w:r>
      <w:r w:rsidR="00FC4CF8">
        <w:rPr>
          <w:lang w:val="en-GB"/>
        </w:rPr>
        <w:t xml:space="preserve">In relation to the specific issue of transition experience, there are specific problems. For example, the </w:t>
      </w:r>
      <w:r w:rsidR="00224777" w:rsidRPr="006907AC">
        <w:rPr>
          <w:rFonts w:eastAsia="Calibri"/>
          <w:lang w:val="en-US"/>
        </w:rPr>
        <w:t xml:space="preserve">Czech government </w:t>
      </w:r>
      <w:r w:rsidR="00FC4CF8">
        <w:rPr>
          <w:rFonts w:eastAsia="Calibri"/>
          <w:lang w:val="en-US"/>
        </w:rPr>
        <w:t xml:space="preserve">has yet to find a mechanism to reward the extra work carried about by experts </w:t>
      </w:r>
      <w:r w:rsidR="00224777" w:rsidRPr="006907AC">
        <w:rPr>
          <w:rFonts w:eastAsia="Calibri"/>
          <w:lang w:val="en-US"/>
        </w:rPr>
        <w:t xml:space="preserve">(Němečková </w:t>
      </w:r>
      <w:r w:rsidR="00224777" w:rsidRPr="00A1367D">
        <w:rPr>
          <w:rFonts w:eastAsia="Calibri"/>
          <w:i/>
          <w:lang w:val="en-US"/>
        </w:rPr>
        <w:t>et al</w:t>
      </w:r>
      <w:r w:rsidRPr="00A1367D">
        <w:rPr>
          <w:rFonts w:eastAsia="Calibri"/>
          <w:i/>
          <w:lang w:val="en-US"/>
        </w:rPr>
        <w:t>.</w:t>
      </w:r>
      <w:r w:rsidR="00224777" w:rsidRPr="006907AC">
        <w:rPr>
          <w:rFonts w:eastAsia="Calibri"/>
          <w:lang w:val="en-US"/>
        </w:rPr>
        <w:t xml:space="preserve"> 2012: 40).</w:t>
      </w:r>
      <w:r w:rsidR="00224777" w:rsidRPr="006907AC">
        <w:rPr>
          <w:rFonts w:eastAsia="Calibri"/>
          <w:i/>
          <w:iCs/>
          <w:lang w:val="en-US"/>
        </w:rPr>
        <w:t xml:space="preserve"> </w:t>
      </w:r>
      <w:r w:rsidR="00224777" w:rsidRPr="006907AC">
        <w:rPr>
          <w:rFonts w:eastAsia="Calibri"/>
          <w:lang w:val="en-US"/>
        </w:rPr>
        <w:t xml:space="preserve">Indeed, when a ‘transition expert’ has gained recognition internationally, it may well happen that </w:t>
      </w:r>
      <w:r>
        <w:rPr>
          <w:rFonts w:eastAsia="Calibri"/>
          <w:lang w:val="en-US"/>
        </w:rPr>
        <w:t>(s)</w:t>
      </w:r>
      <w:r w:rsidR="00224777" w:rsidRPr="006907AC">
        <w:rPr>
          <w:rFonts w:eastAsia="Calibri"/>
          <w:lang w:val="en-US"/>
        </w:rPr>
        <w:t>he is wooed away by a different donor with more generous funding</w:t>
      </w:r>
      <w:r w:rsidR="00224777">
        <w:rPr>
          <w:lang w:val="en-US"/>
        </w:rPr>
        <w:t xml:space="preserve"> (</w:t>
      </w:r>
      <w:r w:rsidR="00224777" w:rsidRPr="009761BC">
        <w:rPr>
          <w:lang w:val="en-US"/>
        </w:rPr>
        <w:t>Konrad forthcoming</w:t>
      </w:r>
      <w:r w:rsidR="00224777">
        <w:rPr>
          <w:lang w:val="en-US"/>
        </w:rPr>
        <w:t xml:space="preserve">). </w:t>
      </w:r>
      <w:r w:rsidR="00FC4CF8">
        <w:rPr>
          <w:lang w:val="en-US"/>
        </w:rPr>
        <w:t xml:space="preserve">The idea of building up a </w:t>
      </w:r>
      <w:r>
        <w:rPr>
          <w:rFonts w:eastAsia="Calibri"/>
          <w:lang w:val="en-US"/>
        </w:rPr>
        <w:t>‘</w:t>
      </w:r>
      <w:r w:rsidR="007B75CC" w:rsidRPr="007B75CC">
        <w:rPr>
          <w:rFonts w:eastAsia="Calibri"/>
          <w:lang w:val="en-US"/>
        </w:rPr>
        <w:t>living pool of expertise</w:t>
      </w:r>
      <w:r>
        <w:rPr>
          <w:rFonts w:eastAsia="Calibri"/>
          <w:lang w:val="en-US"/>
        </w:rPr>
        <w:t>’</w:t>
      </w:r>
      <w:r w:rsidR="007B75CC" w:rsidRPr="007B75CC">
        <w:rPr>
          <w:rFonts w:eastAsia="Calibri"/>
          <w:lang w:val="en-US"/>
        </w:rPr>
        <w:t xml:space="preserve"> </w:t>
      </w:r>
      <w:r w:rsidR="00FC4CF8">
        <w:rPr>
          <w:rFonts w:eastAsia="Calibri"/>
          <w:lang w:val="en-US"/>
        </w:rPr>
        <w:t xml:space="preserve">has yet to really take off </w:t>
      </w:r>
      <w:r w:rsidR="007B75CC" w:rsidRPr="007B75CC">
        <w:rPr>
          <w:rFonts w:eastAsia="Calibri"/>
          <w:lang w:val="en-US"/>
        </w:rPr>
        <w:t>(Czech Government 2011</w:t>
      </w:r>
      <w:r>
        <w:rPr>
          <w:rFonts w:eastAsia="Calibri"/>
          <w:lang w:val="en-US"/>
        </w:rPr>
        <w:t>:</w:t>
      </w:r>
      <w:r w:rsidR="007B75CC" w:rsidRPr="007B75CC">
        <w:rPr>
          <w:rFonts w:eastAsia="Calibri"/>
          <w:lang w:val="en-US"/>
        </w:rPr>
        <w:t xml:space="preserve"> 1</w:t>
      </w:r>
      <w:r w:rsidR="00FC4CF8">
        <w:rPr>
          <w:rFonts w:eastAsia="Calibri"/>
          <w:lang w:val="en-US"/>
        </w:rPr>
        <w:t xml:space="preserve">). </w:t>
      </w:r>
    </w:p>
    <w:p w:rsidR="00097FE3" w:rsidRPr="00097FE3" w:rsidRDefault="00097FE3" w:rsidP="00781441">
      <w:pPr>
        <w:spacing w:line="276" w:lineRule="auto"/>
        <w:ind w:right="850"/>
        <w:rPr>
          <w:highlight w:val="yellow"/>
          <w:lang w:val="en-GB"/>
        </w:rPr>
      </w:pPr>
    </w:p>
    <w:p w:rsidR="004E1BEE" w:rsidRPr="00A8776D" w:rsidRDefault="004E1BEE" w:rsidP="00781441">
      <w:pPr>
        <w:spacing w:line="276" w:lineRule="auto"/>
        <w:rPr>
          <w:b/>
          <w:i/>
          <w:lang w:val="en-GB"/>
        </w:rPr>
      </w:pPr>
      <w:r w:rsidRPr="00A8776D">
        <w:rPr>
          <w:b/>
          <w:i/>
          <w:lang w:val="en-GB"/>
        </w:rPr>
        <w:t xml:space="preserve">The ability to argue </w:t>
      </w:r>
      <w:r w:rsidR="00125662" w:rsidRPr="00A8776D">
        <w:rPr>
          <w:b/>
          <w:i/>
          <w:lang w:val="en-GB"/>
        </w:rPr>
        <w:t>for</w:t>
      </w:r>
      <w:r w:rsidRPr="00A8776D">
        <w:rPr>
          <w:b/>
          <w:i/>
          <w:lang w:val="en-GB"/>
        </w:rPr>
        <w:t xml:space="preserve"> Community interest</w:t>
      </w:r>
    </w:p>
    <w:p w:rsidR="00A1367D" w:rsidRDefault="00A1367D" w:rsidP="00781441">
      <w:pPr>
        <w:spacing w:line="276" w:lineRule="auto"/>
        <w:rPr>
          <w:lang w:val="en-GB"/>
        </w:rPr>
      </w:pPr>
    </w:p>
    <w:p w:rsidR="000644E2" w:rsidRDefault="00571D8C" w:rsidP="000644E2">
      <w:pPr>
        <w:spacing w:line="276" w:lineRule="auto"/>
        <w:jc w:val="both"/>
        <w:rPr>
          <w:lang w:val="en-GB"/>
        </w:rPr>
      </w:pPr>
      <w:r>
        <w:rPr>
          <w:lang w:val="en-GB"/>
        </w:rPr>
        <w:t xml:space="preserve">We do not go into the issue of whether </w:t>
      </w:r>
      <w:r w:rsidR="00920B4C">
        <w:rPr>
          <w:lang w:val="en-GB"/>
        </w:rPr>
        <w:t xml:space="preserve">mainstreaming </w:t>
      </w:r>
      <w:r>
        <w:rPr>
          <w:lang w:val="en-GB"/>
        </w:rPr>
        <w:t xml:space="preserve">transition experience </w:t>
      </w:r>
      <w:r w:rsidR="00920B4C">
        <w:rPr>
          <w:lang w:val="en-GB"/>
        </w:rPr>
        <w:t xml:space="preserve">in development policy </w:t>
      </w:r>
      <w:r>
        <w:rPr>
          <w:lang w:val="en-GB"/>
        </w:rPr>
        <w:t xml:space="preserve">is a community interest or not, rather we focus on how much the </w:t>
      </w:r>
      <w:r w:rsidR="008737A5">
        <w:rPr>
          <w:lang w:val="en-GB"/>
        </w:rPr>
        <w:t>V4</w:t>
      </w:r>
      <w:r w:rsidR="000644E2">
        <w:rPr>
          <w:lang w:val="en-GB"/>
        </w:rPr>
        <w:t xml:space="preserve"> countries</w:t>
      </w:r>
      <w:r>
        <w:rPr>
          <w:lang w:val="en-GB"/>
        </w:rPr>
        <w:t xml:space="preserve"> have managed to sell it as such.</w:t>
      </w:r>
      <w:r w:rsidR="000E26DB">
        <w:rPr>
          <w:lang w:val="en-GB"/>
        </w:rPr>
        <w:t xml:space="preserve"> </w:t>
      </w:r>
      <w:r w:rsidR="00FC4CF8">
        <w:rPr>
          <w:lang w:val="en-GB"/>
        </w:rPr>
        <w:t xml:space="preserve">There is a recognition that transition experience is the </w:t>
      </w:r>
      <w:r w:rsidR="00B51A53" w:rsidRPr="004B0C50">
        <w:rPr>
          <w:lang w:val="en-GB"/>
        </w:rPr>
        <w:t>main comparative advantage</w:t>
      </w:r>
      <w:r w:rsidR="00FC4CF8">
        <w:rPr>
          <w:lang w:val="en-GB"/>
        </w:rPr>
        <w:t xml:space="preserve"> of the new donors</w:t>
      </w:r>
      <w:r w:rsidR="00147A3C">
        <w:rPr>
          <w:lang w:val="en-GB"/>
        </w:rPr>
        <w:t xml:space="preserve">, but there is a perception that </w:t>
      </w:r>
      <w:r w:rsidR="008737A5">
        <w:rPr>
          <w:lang w:val="en-GB"/>
        </w:rPr>
        <w:t>V4</w:t>
      </w:r>
      <w:r w:rsidR="00B51A53" w:rsidRPr="004B0C50">
        <w:rPr>
          <w:lang w:val="en-GB"/>
        </w:rPr>
        <w:t xml:space="preserve"> </w:t>
      </w:r>
      <w:r w:rsidR="000644E2">
        <w:rPr>
          <w:lang w:val="en-GB"/>
        </w:rPr>
        <w:t xml:space="preserve">states </w:t>
      </w:r>
      <w:r w:rsidR="00147A3C">
        <w:rPr>
          <w:lang w:val="en-GB"/>
        </w:rPr>
        <w:t>focus too much on this issue at the expense of others</w:t>
      </w:r>
      <w:r w:rsidR="000644E2">
        <w:rPr>
          <w:lang w:val="en-GB"/>
        </w:rPr>
        <w:t>, a Council official interviewed even argued that they are ‘obsessed’ with transition experience</w:t>
      </w:r>
      <w:r w:rsidR="00147A3C">
        <w:rPr>
          <w:lang w:val="en-GB"/>
        </w:rPr>
        <w:t>.</w:t>
      </w:r>
      <w:r w:rsidR="000644E2">
        <w:rPr>
          <w:rStyle w:val="FootnoteReference"/>
          <w:lang w:val="en-GB"/>
        </w:rPr>
        <w:footnoteReference w:id="14"/>
      </w:r>
      <w:r w:rsidR="00204E2D">
        <w:rPr>
          <w:lang w:val="en-GB"/>
        </w:rPr>
        <w:t xml:space="preserve"> For example, at a </w:t>
      </w:r>
      <w:r w:rsidR="00147A3C">
        <w:rPr>
          <w:lang w:val="en-GB"/>
        </w:rPr>
        <w:t xml:space="preserve">recent </w:t>
      </w:r>
      <w:r w:rsidR="00FC4CF8" w:rsidRPr="00FC4CF8">
        <w:rPr>
          <w:lang w:val="en-GB"/>
        </w:rPr>
        <w:t xml:space="preserve">meeting </w:t>
      </w:r>
      <w:r w:rsidR="00147A3C">
        <w:rPr>
          <w:lang w:val="en-GB"/>
        </w:rPr>
        <w:t xml:space="preserve">of </w:t>
      </w:r>
      <w:r w:rsidR="00204E2D">
        <w:rPr>
          <w:lang w:val="en-GB"/>
        </w:rPr>
        <w:t>the so-called “</w:t>
      </w:r>
      <w:r w:rsidR="00147A3C">
        <w:rPr>
          <w:lang w:val="en-GB"/>
        </w:rPr>
        <w:t>like-minded states</w:t>
      </w:r>
      <w:r w:rsidR="00204E2D">
        <w:rPr>
          <w:lang w:val="en-GB"/>
        </w:rPr>
        <w:t>”</w:t>
      </w:r>
      <w:r w:rsidR="00147A3C">
        <w:rPr>
          <w:lang w:val="en-GB"/>
        </w:rPr>
        <w:t xml:space="preserve"> </w:t>
      </w:r>
      <w:r w:rsidR="00FC4CF8" w:rsidRPr="00FC4CF8">
        <w:rPr>
          <w:lang w:val="en-GB"/>
        </w:rPr>
        <w:t xml:space="preserve">in </w:t>
      </w:r>
      <w:r w:rsidR="000644E2">
        <w:rPr>
          <w:lang w:val="en-GB"/>
        </w:rPr>
        <w:t>the Netherlands</w:t>
      </w:r>
      <w:r w:rsidR="00147A3C">
        <w:rPr>
          <w:lang w:val="en-GB"/>
        </w:rPr>
        <w:t xml:space="preserve">, </w:t>
      </w:r>
      <w:r w:rsidR="00FC4CF8" w:rsidRPr="00FC4CF8">
        <w:rPr>
          <w:lang w:val="en-GB"/>
        </w:rPr>
        <w:t xml:space="preserve">Poland said nothing until the end when they </w:t>
      </w:r>
      <w:r w:rsidR="00FC4CF8" w:rsidRPr="00FC4CF8">
        <w:rPr>
          <w:lang w:val="en-GB"/>
        </w:rPr>
        <w:lastRenderedPageBreak/>
        <w:t xml:space="preserve">mentioned </w:t>
      </w:r>
      <w:r w:rsidR="00147A3C">
        <w:rPr>
          <w:lang w:val="en-GB"/>
        </w:rPr>
        <w:t>transition experience.</w:t>
      </w:r>
      <w:r w:rsidR="000644E2">
        <w:rPr>
          <w:rStyle w:val="FootnoteReference"/>
          <w:lang w:val="en-GB"/>
        </w:rPr>
        <w:footnoteReference w:id="15"/>
      </w:r>
      <w:r w:rsidR="00147A3C">
        <w:rPr>
          <w:lang w:val="en-GB"/>
        </w:rPr>
        <w:t xml:space="preserve"> </w:t>
      </w:r>
      <w:r w:rsidR="000644E2">
        <w:rPr>
          <w:lang w:val="en-GB"/>
        </w:rPr>
        <w:t xml:space="preserve">This does reinforce perceptions on how transition experience is a thing of the </w:t>
      </w:r>
      <w:r w:rsidR="008737A5">
        <w:rPr>
          <w:lang w:val="en-GB"/>
        </w:rPr>
        <w:t>V4</w:t>
      </w:r>
      <w:r w:rsidR="000644E2">
        <w:rPr>
          <w:lang w:val="en-GB"/>
        </w:rPr>
        <w:t xml:space="preserve"> countries.</w:t>
      </w:r>
    </w:p>
    <w:p w:rsidR="000644E2" w:rsidRDefault="000644E2" w:rsidP="00781441">
      <w:pPr>
        <w:spacing w:line="276" w:lineRule="auto"/>
        <w:rPr>
          <w:lang w:val="en-GB"/>
        </w:rPr>
      </w:pPr>
    </w:p>
    <w:p w:rsidR="000644E2" w:rsidRDefault="000644E2" w:rsidP="00781441">
      <w:pPr>
        <w:spacing w:line="276" w:lineRule="auto"/>
        <w:rPr>
          <w:lang w:val="en-GB"/>
        </w:rPr>
      </w:pPr>
      <w:r>
        <w:rPr>
          <w:lang w:val="en-GB"/>
        </w:rPr>
        <w:t>None the l</w:t>
      </w:r>
      <w:r w:rsidR="007433EE">
        <w:rPr>
          <w:lang w:val="en-GB"/>
        </w:rPr>
        <w:t>ess, there are clear efforts to portray transition experience as something that would benefit the Community. For example, in a speech in 2013, Czech</w:t>
      </w:r>
      <w:r w:rsidR="000A6CB6" w:rsidRPr="000A6CB6">
        <w:rPr>
          <w:lang w:val="en-GB"/>
        </w:rPr>
        <w:t xml:space="preserve"> Deputy Minister of Forei</w:t>
      </w:r>
      <w:r w:rsidR="007433EE">
        <w:rPr>
          <w:lang w:val="en-GB"/>
        </w:rPr>
        <w:t xml:space="preserve">gn Affairs </w:t>
      </w:r>
      <w:r w:rsidR="000A6CB6" w:rsidRPr="000A6CB6">
        <w:rPr>
          <w:lang w:val="en-GB"/>
        </w:rPr>
        <w:t xml:space="preserve">Jiří Schneider, </w:t>
      </w:r>
      <w:r w:rsidR="000A6CB6">
        <w:rPr>
          <w:lang w:val="en-GB"/>
        </w:rPr>
        <w:t xml:space="preserve">argued that </w:t>
      </w:r>
    </w:p>
    <w:p w:rsidR="000644E2" w:rsidRDefault="000644E2" w:rsidP="00781441">
      <w:pPr>
        <w:spacing w:line="276" w:lineRule="auto"/>
        <w:rPr>
          <w:lang w:val="en-GB"/>
        </w:rPr>
      </w:pPr>
    </w:p>
    <w:p w:rsidR="000A6CB6" w:rsidRPr="007433EE" w:rsidRDefault="000A6CB6" w:rsidP="007433EE">
      <w:pPr>
        <w:spacing w:line="276" w:lineRule="auto"/>
        <w:ind w:left="567" w:right="567"/>
        <w:jc w:val="both"/>
        <w:rPr>
          <w:sz w:val="20"/>
          <w:szCs w:val="20"/>
          <w:lang w:val="en-GB"/>
        </w:rPr>
      </w:pPr>
      <w:r w:rsidRPr="007433EE">
        <w:rPr>
          <w:sz w:val="20"/>
          <w:szCs w:val="20"/>
          <w:lang w:val="en-GB"/>
        </w:rPr>
        <w:t>We are ready to share with developing countries our wealth of past experience with privatisation and building of business environment. We can help create strategies for public administration reform, private sector development, new forms of public private partnership, democratic governance, institutionalisation and a fair judiciary’.</w:t>
      </w:r>
      <w:r w:rsidR="007433EE">
        <w:rPr>
          <w:sz w:val="20"/>
          <w:szCs w:val="20"/>
          <w:lang w:val="en-GB"/>
        </w:rPr>
        <w:tab/>
        <w:t>(Czech Ministry of Foreign Affairs 2013)</w:t>
      </w:r>
    </w:p>
    <w:p w:rsidR="000A6CB6" w:rsidRDefault="000A6CB6" w:rsidP="00781441">
      <w:pPr>
        <w:spacing w:line="276" w:lineRule="auto"/>
        <w:rPr>
          <w:lang w:val="en-GB"/>
        </w:rPr>
      </w:pPr>
    </w:p>
    <w:p w:rsidR="003B6997" w:rsidRDefault="00777F64" w:rsidP="003B6997">
      <w:pPr>
        <w:spacing w:line="276" w:lineRule="auto"/>
        <w:jc w:val="both"/>
        <w:rPr>
          <w:lang w:val="en-GB"/>
        </w:rPr>
      </w:pPr>
      <w:r>
        <w:rPr>
          <w:lang w:val="en-GB"/>
        </w:rPr>
        <w:t xml:space="preserve">This quote is an example of efforts to link up transition experience with the global development architecture, something of key importance to the EU. </w:t>
      </w:r>
      <w:r w:rsidR="003B6997">
        <w:rPr>
          <w:lang w:val="en-GB"/>
        </w:rPr>
        <w:t xml:space="preserve">The broad content of transition experience however questions just how credible these statements can be. </w:t>
      </w:r>
      <w:r w:rsidR="00B51A53" w:rsidRPr="00B51A53">
        <w:rPr>
          <w:lang w:val="en-GB"/>
        </w:rPr>
        <w:t xml:space="preserve">The </w:t>
      </w:r>
      <w:r w:rsidR="008737A5">
        <w:rPr>
          <w:lang w:val="en-GB"/>
        </w:rPr>
        <w:t>V4</w:t>
      </w:r>
      <w:r w:rsidR="003B6997">
        <w:rPr>
          <w:lang w:val="en-GB"/>
        </w:rPr>
        <w:t xml:space="preserve"> countries</w:t>
      </w:r>
      <w:r w:rsidR="00B51A53" w:rsidRPr="00B51A53">
        <w:rPr>
          <w:lang w:val="en-GB"/>
        </w:rPr>
        <w:t xml:space="preserve"> have problems in delimiting what is transition experience – it seems that they treat the issue as broad as possible to suit their convenience. But, how can </w:t>
      </w:r>
      <w:r w:rsidR="007433EE">
        <w:rPr>
          <w:lang w:val="en-GB"/>
        </w:rPr>
        <w:t>something</w:t>
      </w:r>
      <w:r w:rsidR="00B51A53" w:rsidRPr="00B51A53">
        <w:rPr>
          <w:lang w:val="en-GB"/>
        </w:rPr>
        <w:t xml:space="preserve"> </w:t>
      </w:r>
      <w:r w:rsidR="007433EE">
        <w:rPr>
          <w:lang w:val="en-GB"/>
        </w:rPr>
        <w:t xml:space="preserve">be </w:t>
      </w:r>
      <w:r w:rsidR="00B51A53" w:rsidRPr="00B51A53">
        <w:rPr>
          <w:lang w:val="en-GB"/>
        </w:rPr>
        <w:t>integrate</w:t>
      </w:r>
      <w:r w:rsidR="007433EE">
        <w:rPr>
          <w:lang w:val="en-GB"/>
        </w:rPr>
        <w:t>d</w:t>
      </w:r>
      <w:r w:rsidR="003B6997">
        <w:rPr>
          <w:lang w:val="en-GB"/>
        </w:rPr>
        <w:t xml:space="preserve"> into EU policies</w:t>
      </w:r>
      <w:r w:rsidR="00B51A53" w:rsidRPr="00B51A53">
        <w:rPr>
          <w:lang w:val="en-GB"/>
        </w:rPr>
        <w:t xml:space="preserve"> if </w:t>
      </w:r>
      <w:r w:rsidR="007433EE">
        <w:rPr>
          <w:lang w:val="en-GB"/>
        </w:rPr>
        <w:t xml:space="preserve">its </w:t>
      </w:r>
      <w:r w:rsidR="003B6997">
        <w:rPr>
          <w:lang w:val="en-GB"/>
        </w:rPr>
        <w:t xml:space="preserve">exact </w:t>
      </w:r>
      <w:r w:rsidR="007433EE">
        <w:rPr>
          <w:lang w:val="en-GB"/>
        </w:rPr>
        <w:t xml:space="preserve">content is unknown? </w:t>
      </w:r>
    </w:p>
    <w:p w:rsidR="003B6997" w:rsidRDefault="003B6997" w:rsidP="003B6997">
      <w:pPr>
        <w:spacing w:line="276" w:lineRule="auto"/>
        <w:jc w:val="both"/>
        <w:rPr>
          <w:lang w:val="en-GB"/>
        </w:rPr>
      </w:pPr>
    </w:p>
    <w:p w:rsidR="00D84D2C" w:rsidRDefault="00777F64" w:rsidP="003B6997">
      <w:pPr>
        <w:spacing w:line="276" w:lineRule="auto"/>
        <w:jc w:val="both"/>
        <w:rPr>
          <w:rFonts w:eastAsia="Calibri"/>
          <w:lang w:val="en-US"/>
        </w:rPr>
      </w:pPr>
      <w:r>
        <w:rPr>
          <w:lang w:val="en-GB"/>
        </w:rPr>
        <w:t xml:space="preserve">Becoming more specific however also raises problems. </w:t>
      </w:r>
      <w:r w:rsidR="00147A3C">
        <w:rPr>
          <w:lang w:val="en-GB"/>
        </w:rPr>
        <w:t xml:space="preserve">One clear area of transition experience </w:t>
      </w:r>
      <w:r w:rsidR="007433EE">
        <w:rPr>
          <w:lang w:val="en-GB"/>
        </w:rPr>
        <w:t xml:space="preserve">is the expertise gained while </w:t>
      </w:r>
      <w:r w:rsidR="00147A3C">
        <w:rPr>
          <w:lang w:val="en-GB"/>
        </w:rPr>
        <w:t xml:space="preserve">joining the EU. Here </w:t>
      </w:r>
      <w:r w:rsidR="00D84D2C">
        <w:rPr>
          <w:rFonts w:eastAsia="Calibri"/>
          <w:lang w:val="en-US"/>
        </w:rPr>
        <w:t xml:space="preserve">the </w:t>
      </w:r>
      <w:r w:rsidR="007433EE">
        <w:rPr>
          <w:rFonts w:eastAsia="Calibri"/>
          <w:lang w:val="en-US"/>
        </w:rPr>
        <w:t>current accession countries</w:t>
      </w:r>
      <w:r w:rsidR="00D84D2C">
        <w:rPr>
          <w:rFonts w:eastAsia="Calibri"/>
          <w:lang w:val="en-US"/>
        </w:rPr>
        <w:t xml:space="preserve"> seek mostly the experience with incorporating EU </w:t>
      </w:r>
      <w:r w:rsidR="007433EE">
        <w:rPr>
          <w:rFonts w:eastAsia="Calibri"/>
          <w:lang w:val="en-US"/>
        </w:rPr>
        <w:t>rules</w:t>
      </w:r>
      <w:r w:rsidR="00D84D2C" w:rsidRPr="00FB0EE0">
        <w:rPr>
          <w:rFonts w:eastAsia="Calibri"/>
          <w:lang w:val="en-US"/>
        </w:rPr>
        <w:t xml:space="preserve">. The EU candidates </w:t>
      </w:r>
      <w:r>
        <w:rPr>
          <w:rFonts w:eastAsia="Calibri"/>
          <w:lang w:val="en-US"/>
        </w:rPr>
        <w:t xml:space="preserve">and potential candidates </w:t>
      </w:r>
      <w:r w:rsidR="00D84D2C" w:rsidRPr="00FB0EE0">
        <w:rPr>
          <w:rFonts w:eastAsia="Calibri"/>
          <w:lang w:val="en-US"/>
        </w:rPr>
        <w:t xml:space="preserve">often coincide with priority countries of </w:t>
      </w:r>
      <w:r w:rsidR="007433EE">
        <w:rPr>
          <w:rFonts w:eastAsia="Calibri"/>
          <w:lang w:val="en-US"/>
        </w:rPr>
        <w:t>many</w:t>
      </w:r>
      <w:r w:rsidR="00D84D2C" w:rsidRPr="00FB0EE0">
        <w:rPr>
          <w:rFonts w:eastAsia="Calibri"/>
          <w:lang w:val="en-US"/>
        </w:rPr>
        <w:t xml:space="preserve"> </w:t>
      </w:r>
      <w:r w:rsidR="008737A5">
        <w:rPr>
          <w:rFonts w:eastAsia="Calibri"/>
          <w:lang w:val="en-US"/>
        </w:rPr>
        <w:t>V4</w:t>
      </w:r>
      <w:r w:rsidR="00D84D2C" w:rsidRPr="00FB0EE0">
        <w:rPr>
          <w:rFonts w:eastAsia="Calibri"/>
          <w:lang w:val="en-US"/>
        </w:rPr>
        <w:t xml:space="preserve"> donor, though, have simultaneously access to EU pre-accession </w:t>
      </w:r>
      <w:r w:rsidR="007433EE">
        <w:rPr>
          <w:rFonts w:eastAsia="Calibri"/>
          <w:lang w:val="en-US"/>
        </w:rPr>
        <w:t xml:space="preserve">financing, </w:t>
      </w:r>
      <w:r w:rsidR="00D84D2C" w:rsidRPr="00FB0EE0">
        <w:rPr>
          <w:rFonts w:eastAsia="Calibri"/>
          <w:lang w:val="en-US"/>
        </w:rPr>
        <w:t xml:space="preserve">TAIEX, </w:t>
      </w:r>
      <w:r w:rsidR="007433EE">
        <w:rPr>
          <w:rFonts w:eastAsia="Calibri"/>
          <w:lang w:val="en-US"/>
        </w:rPr>
        <w:t xml:space="preserve">and </w:t>
      </w:r>
      <w:r w:rsidR="00D84D2C" w:rsidRPr="00FB0EE0">
        <w:rPr>
          <w:rFonts w:eastAsia="Calibri"/>
          <w:lang w:val="en-US"/>
        </w:rPr>
        <w:t>twinning</w:t>
      </w:r>
      <w:r w:rsidR="007433EE">
        <w:rPr>
          <w:rFonts w:eastAsia="Calibri"/>
          <w:lang w:val="en-US"/>
        </w:rPr>
        <w:t>.</w:t>
      </w:r>
      <w:r w:rsidR="00D84D2C" w:rsidRPr="00FB0EE0">
        <w:rPr>
          <w:rFonts w:eastAsia="Calibri"/>
          <w:lang w:val="en-US"/>
        </w:rPr>
        <w:t xml:space="preserve"> </w:t>
      </w:r>
      <w:r w:rsidR="007433EE">
        <w:rPr>
          <w:rFonts w:eastAsia="Calibri"/>
          <w:lang w:val="en-US"/>
        </w:rPr>
        <w:t>I</w:t>
      </w:r>
      <w:r w:rsidR="00D84D2C" w:rsidRPr="00FB0EE0">
        <w:rPr>
          <w:rFonts w:eastAsia="Calibri"/>
          <w:lang w:val="en-US"/>
        </w:rPr>
        <w:t xml:space="preserve">n the framework of </w:t>
      </w:r>
      <w:r w:rsidR="007433EE">
        <w:rPr>
          <w:rFonts w:eastAsia="Calibri"/>
          <w:lang w:val="en-US"/>
        </w:rPr>
        <w:t xml:space="preserve">these </w:t>
      </w:r>
      <w:r w:rsidR="00D84D2C" w:rsidRPr="00FB0EE0">
        <w:rPr>
          <w:rFonts w:eastAsia="Calibri"/>
          <w:lang w:val="en-US"/>
        </w:rPr>
        <w:t>they can apply for project</w:t>
      </w:r>
      <w:r>
        <w:rPr>
          <w:rFonts w:eastAsia="Calibri"/>
          <w:lang w:val="en-US"/>
        </w:rPr>
        <w:t>s</w:t>
      </w:r>
      <w:r w:rsidR="00D84D2C" w:rsidRPr="00FB0EE0">
        <w:rPr>
          <w:rFonts w:eastAsia="Calibri"/>
          <w:lang w:val="en-US"/>
        </w:rPr>
        <w:t xml:space="preserve"> with similar</w:t>
      </w:r>
      <w:r w:rsidR="00D84D2C">
        <w:rPr>
          <w:rFonts w:eastAsia="Calibri"/>
          <w:lang w:val="en-US"/>
        </w:rPr>
        <w:t xml:space="preserve"> focus or</w:t>
      </w:r>
      <w:r w:rsidR="00D84D2C" w:rsidRPr="00FA4FFD">
        <w:rPr>
          <w:rFonts w:eastAsia="Calibri"/>
          <w:lang w:val="en-US"/>
        </w:rPr>
        <w:t xml:space="preserve"> expertise as the ‘transition experience’ ones</w:t>
      </w:r>
      <w:r w:rsidR="007433EE">
        <w:rPr>
          <w:rFonts w:eastAsia="Calibri"/>
          <w:lang w:val="en-US"/>
        </w:rPr>
        <w:t xml:space="preserve">, </w:t>
      </w:r>
      <w:r w:rsidR="00D84D2C" w:rsidRPr="00FA4FFD">
        <w:rPr>
          <w:rFonts w:eastAsia="Calibri"/>
          <w:lang w:val="en-US"/>
        </w:rPr>
        <w:t>but backed up with far larger budgets.</w:t>
      </w:r>
      <w:r w:rsidR="007433EE">
        <w:rPr>
          <w:rFonts w:eastAsia="Calibri"/>
          <w:lang w:val="en-US"/>
        </w:rPr>
        <w:t xml:space="preserve"> </w:t>
      </w:r>
    </w:p>
    <w:p w:rsidR="00571D8C" w:rsidRDefault="00571D8C" w:rsidP="00781441">
      <w:pPr>
        <w:spacing w:line="276" w:lineRule="auto"/>
        <w:rPr>
          <w:lang w:val="en-GB"/>
        </w:rPr>
      </w:pPr>
    </w:p>
    <w:p w:rsidR="004E1BEE" w:rsidRPr="00A8776D" w:rsidRDefault="004E1BEE" w:rsidP="00781441">
      <w:pPr>
        <w:spacing w:line="276" w:lineRule="auto"/>
        <w:rPr>
          <w:b/>
          <w:i/>
          <w:lang w:val="en-GB"/>
        </w:rPr>
      </w:pPr>
      <w:r w:rsidRPr="00A8776D">
        <w:rPr>
          <w:b/>
          <w:i/>
          <w:lang w:val="en-GB"/>
        </w:rPr>
        <w:t>Receptiveness of other member states</w:t>
      </w:r>
    </w:p>
    <w:p w:rsidR="003B6997" w:rsidRDefault="003B6997" w:rsidP="00781441">
      <w:pPr>
        <w:spacing w:line="276" w:lineRule="auto"/>
        <w:rPr>
          <w:lang w:val="en-GB"/>
        </w:rPr>
      </w:pPr>
    </w:p>
    <w:p w:rsidR="003B6997" w:rsidRDefault="00A8776D" w:rsidP="003B6997">
      <w:pPr>
        <w:spacing w:line="276" w:lineRule="auto"/>
        <w:jc w:val="both"/>
        <w:rPr>
          <w:lang w:val="en-GB"/>
        </w:rPr>
      </w:pPr>
      <w:r>
        <w:rPr>
          <w:lang w:val="en-GB"/>
        </w:rPr>
        <w:t xml:space="preserve">Many old member states (such as France and the UK) have strong preferences </w:t>
      </w:r>
      <w:r w:rsidR="003B6997">
        <w:rPr>
          <w:lang w:val="en-GB"/>
        </w:rPr>
        <w:t>due to</w:t>
      </w:r>
      <w:r>
        <w:rPr>
          <w:lang w:val="en-GB"/>
        </w:rPr>
        <w:t xml:space="preserve"> political, historical and economic reasons for giving aid to Sub-Saharan Africa</w:t>
      </w:r>
      <w:r w:rsidR="003B6997">
        <w:rPr>
          <w:lang w:val="en-GB"/>
        </w:rPr>
        <w:t xml:space="preserve"> (or, more broadly, the African, Caribbean and Pacific [ACP] countries) </w:t>
      </w:r>
      <w:r>
        <w:rPr>
          <w:lang w:val="en-GB"/>
        </w:rPr>
        <w:t xml:space="preserve">, and would like to see the region remain the </w:t>
      </w:r>
      <w:r w:rsidR="003B6997">
        <w:rPr>
          <w:lang w:val="en-GB"/>
        </w:rPr>
        <w:t xml:space="preserve">main </w:t>
      </w:r>
      <w:r>
        <w:rPr>
          <w:lang w:val="en-GB"/>
        </w:rPr>
        <w:t>recipient of EC aid</w:t>
      </w:r>
      <w:r w:rsidR="00A617B6">
        <w:rPr>
          <w:lang w:val="en-GB"/>
        </w:rPr>
        <w:t xml:space="preserve"> (Carbone 2007)</w:t>
      </w:r>
      <w:r>
        <w:rPr>
          <w:lang w:val="en-GB"/>
        </w:rPr>
        <w:t xml:space="preserve">. In rhetorical terms, this can be justified with the EU’s goal to reduce global poverty, which implies giving aid to countries where poverty is high. Transition experience is not seen as relevant in least developed Sub-Saharan African countries, and is thus understood as a threat to poverty-focused aid. </w:t>
      </w:r>
      <w:r w:rsidR="008737A5">
        <w:rPr>
          <w:lang w:val="en-GB"/>
        </w:rPr>
        <w:t>V4</w:t>
      </w:r>
      <w:r w:rsidR="003B6997">
        <w:rPr>
          <w:lang w:val="en-GB"/>
        </w:rPr>
        <w:t xml:space="preserve"> countries however have argued that the ACP group is a heritage of the colonial past, and the EU should focus equally on regions where the new members have a comparative advantage, such as the Balkans.</w:t>
      </w:r>
      <w:r w:rsidR="00652DF8">
        <w:rPr>
          <w:rStyle w:val="FootnoteReference"/>
          <w:lang w:val="en-GB"/>
        </w:rPr>
        <w:footnoteReference w:id="16"/>
      </w:r>
      <w:r w:rsidR="00652DF8">
        <w:rPr>
          <w:lang w:val="en-GB"/>
        </w:rPr>
        <w:t xml:space="preserve"> </w:t>
      </w:r>
      <w:r w:rsidR="003B6997">
        <w:rPr>
          <w:lang w:val="en-GB"/>
        </w:rPr>
        <w:t>This clearly does not resonate with many influential older member states</w:t>
      </w:r>
    </w:p>
    <w:p w:rsidR="003B6997" w:rsidRDefault="003B6997" w:rsidP="00781441">
      <w:pPr>
        <w:spacing w:line="276" w:lineRule="auto"/>
        <w:rPr>
          <w:lang w:val="en-GB"/>
        </w:rPr>
      </w:pPr>
    </w:p>
    <w:p w:rsidR="00A6043F" w:rsidRDefault="00652DF8" w:rsidP="00A6043F">
      <w:pPr>
        <w:spacing w:line="276" w:lineRule="auto"/>
        <w:jc w:val="both"/>
        <w:rPr>
          <w:lang w:val="en-GB"/>
        </w:rPr>
      </w:pPr>
      <w:r>
        <w:rPr>
          <w:lang w:val="en-GB"/>
        </w:rPr>
        <w:t xml:space="preserve">Other worries for </w:t>
      </w:r>
      <w:r w:rsidR="00147A3C">
        <w:rPr>
          <w:lang w:val="en-GB"/>
        </w:rPr>
        <w:t xml:space="preserve">some </w:t>
      </w:r>
      <w:r w:rsidR="007B7BE3">
        <w:rPr>
          <w:lang w:val="en-GB"/>
        </w:rPr>
        <w:t xml:space="preserve">older member states relate to how mainstreaming transition experience will influence the </w:t>
      </w:r>
      <w:r w:rsidR="00B51A53">
        <w:rPr>
          <w:lang w:val="en-GB"/>
        </w:rPr>
        <w:t>quality and effectiveness</w:t>
      </w:r>
      <w:r w:rsidR="007B7BE3">
        <w:rPr>
          <w:lang w:val="en-GB"/>
        </w:rPr>
        <w:t xml:space="preserve"> of EC aid. </w:t>
      </w:r>
      <w:r w:rsidR="00644A36">
        <w:rPr>
          <w:lang w:val="en-GB"/>
        </w:rPr>
        <w:t xml:space="preserve">There are fears that this can </w:t>
      </w:r>
      <w:r w:rsidR="00644A36">
        <w:rPr>
          <w:lang w:val="en-GB"/>
        </w:rPr>
        <w:lastRenderedPageBreak/>
        <w:t xml:space="preserve">decrease recipient ownership and lead to more donor-driven technical cooperation. Earmarking funds </w:t>
      </w:r>
      <w:r w:rsidR="00A6043F">
        <w:rPr>
          <w:lang w:val="en-GB"/>
        </w:rPr>
        <w:t xml:space="preserve">implies tied aid, i.e. procurement from the </w:t>
      </w:r>
      <w:r w:rsidR="008737A5">
        <w:rPr>
          <w:lang w:val="en-GB"/>
        </w:rPr>
        <w:t>V4</w:t>
      </w:r>
      <w:r w:rsidR="00A6043F">
        <w:rPr>
          <w:lang w:val="en-GB"/>
        </w:rPr>
        <w:t xml:space="preserve"> countries, which </w:t>
      </w:r>
      <w:r w:rsidR="00D0121A">
        <w:rPr>
          <w:lang w:val="en-GB"/>
        </w:rPr>
        <w:t xml:space="preserve">creates a certain monopoly for them (and would also mean fewer funds available to actors from the older members). </w:t>
      </w:r>
      <w:r w:rsidR="00A6043F">
        <w:rPr>
          <w:lang w:val="en-GB"/>
        </w:rPr>
        <w:t xml:space="preserve">Recipient countries clearly need advice in carrying out reforms, and while no one doubts that the CEE countries can have good insights to offer, there are questions related to how well these fit with local contexts. Restricting the pool of expertise on offer to developing countries to </w:t>
      </w:r>
      <w:r w:rsidR="008737A5">
        <w:rPr>
          <w:lang w:val="en-GB"/>
        </w:rPr>
        <w:t>V4</w:t>
      </w:r>
      <w:r w:rsidR="00A6043F">
        <w:rPr>
          <w:lang w:val="en-GB"/>
        </w:rPr>
        <w:t xml:space="preserve"> transition experience can therefore lead to inefficient solutions. In short, what the </w:t>
      </w:r>
      <w:r w:rsidR="008737A5">
        <w:rPr>
          <w:lang w:val="en-GB"/>
        </w:rPr>
        <w:t>V4</w:t>
      </w:r>
      <w:r w:rsidR="00A6043F">
        <w:rPr>
          <w:lang w:val="en-GB"/>
        </w:rPr>
        <w:t xml:space="preserve"> countries would like to achieve seems to embody bad aid practices and goes against</w:t>
      </w:r>
      <w:r w:rsidR="001A7726">
        <w:rPr>
          <w:lang w:val="en-GB"/>
        </w:rPr>
        <w:t xml:space="preserve"> many principles embodied in the European Consensus.</w:t>
      </w:r>
    </w:p>
    <w:p w:rsidR="00A6043F" w:rsidRDefault="00A6043F" w:rsidP="00A6043F">
      <w:pPr>
        <w:spacing w:line="276" w:lineRule="auto"/>
        <w:jc w:val="both"/>
        <w:rPr>
          <w:lang w:val="en-GB"/>
        </w:rPr>
      </w:pPr>
    </w:p>
    <w:p w:rsidR="00D0121A" w:rsidRDefault="00D0121A" w:rsidP="00781441">
      <w:pPr>
        <w:spacing w:line="276" w:lineRule="auto"/>
        <w:rPr>
          <w:b/>
          <w:lang w:val="en-GB"/>
        </w:rPr>
      </w:pPr>
    </w:p>
    <w:p w:rsidR="0025799C" w:rsidRPr="004B0C50" w:rsidRDefault="00097FE3" w:rsidP="00781441">
      <w:pPr>
        <w:spacing w:line="276" w:lineRule="auto"/>
        <w:rPr>
          <w:b/>
          <w:lang w:val="en-GB"/>
        </w:rPr>
      </w:pPr>
      <w:r>
        <w:rPr>
          <w:b/>
          <w:lang w:val="en-GB"/>
        </w:rPr>
        <w:t>6</w:t>
      </w:r>
      <w:r w:rsidR="007E6FBE" w:rsidRPr="004B0C50">
        <w:rPr>
          <w:b/>
          <w:lang w:val="en-GB"/>
        </w:rPr>
        <w:t xml:space="preserve">. </w:t>
      </w:r>
      <w:r w:rsidR="0025799C" w:rsidRPr="004B0C50">
        <w:rPr>
          <w:b/>
          <w:lang w:val="en-GB"/>
        </w:rPr>
        <w:t>Conclusions</w:t>
      </w:r>
    </w:p>
    <w:p w:rsidR="0025799C" w:rsidRDefault="0025799C" w:rsidP="00781441">
      <w:pPr>
        <w:spacing w:line="276" w:lineRule="auto"/>
        <w:rPr>
          <w:lang w:val="en-GB"/>
        </w:rPr>
      </w:pPr>
    </w:p>
    <w:p w:rsidR="00644A36" w:rsidRDefault="00644A36" w:rsidP="00644A36">
      <w:pPr>
        <w:spacing w:line="276" w:lineRule="auto"/>
        <w:jc w:val="both"/>
        <w:rPr>
          <w:lang w:val="en-GB"/>
        </w:rPr>
      </w:pPr>
      <w:r>
        <w:rPr>
          <w:lang w:val="en-GB"/>
        </w:rPr>
        <w:t>This paper has examine</w:t>
      </w:r>
      <w:r w:rsidR="001A7726">
        <w:rPr>
          <w:lang w:val="en-GB"/>
        </w:rPr>
        <w:t>d</w:t>
      </w:r>
      <w:r>
        <w:rPr>
          <w:lang w:val="en-GB"/>
        </w:rPr>
        <w:t xml:space="preserve"> how the </w:t>
      </w:r>
      <w:r w:rsidR="008737A5">
        <w:rPr>
          <w:lang w:val="en-GB"/>
        </w:rPr>
        <w:t>V4</w:t>
      </w:r>
      <w:r>
        <w:rPr>
          <w:lang w:val="en-GB"/>
        </w:rPr>
        <w:t xml:space="preserve"> member states have influenced the agenda of the EU’s development policy, using the case study of transition experience. While there is evidence of successful policy uploading and transition experience has entered EU rhetoric, there is little to show in practical terms. </w:t>
      </w:r>
      <w:r w:rsidR="008737A5">
        <w:rPr>
          <w:lang w:val="en-GB"/>
        </w:rPr>
        <w:t>V4</w:t>
      </w:r>
      <w:r>
        <w:rPr>
          <w:lang w:val="en-GB"/>
        </w:rPr>
        <w:t xml:space="preserve"> countries clearly want to see a stronger mainstreaming of transition experience into the EU’s external development programs and earmarked funds</w:t>
      </w:r>
      <w:r w:rsidR="001A7726">
        <w:rPr>
          <w:lang w:val="en-GB"/>
        </w:rPr>
        <w:t xml:space="preserve"> in order to ensure greater success for their national development actors in EU grant and contract tenders. </w:t>
      </w:r>
      <w:r>
        <w:rPr>
          <w:lang w:val="en-GB"/>
        </w:rPr>
        <w:t xml:space="preserve">We explain </w:t>
      </w:r>
      <w:r w:rsidR="001A7726">
        <w:rPr>
          <w:lang w:val="en-GB"/>
        </w:rPr>
        <w:t xml:space="preserve">this relative lack of success using five variables which can be seen to determine the power and influence of member states in EU decision making. The results are summarized in Table 1. </w:t>
      </w:r>
    </w:p>
    <w:p w:rsidR="00644A36" w:rsidRDefault="00644A36" w:rsidP="00781441">
      <w:pPr>
        <w:spacing w:line="276" w:lineRule="auto"/>
        <w:rPr>
          <w:lang w:val="en-GB"/>
        </w:rPr>
      </w:pPr>
    </w:p>
    <w:p w:rsidR="001A7726" w:rsidRDefault="001A7726" w:rsidP="00F06EF8">
      <w:pPr>
        <w:spacing w:line="276" w:lineRule="auto"/>
        <w:jc w:val="center"/>
        <w:rPr>
          <w:lang w:val="en-GB"/>
        </w:rPr>
      </w:pPr>
      <w:r>
        <w:rPr>
          <w:lang w:val="en-GB"/>
        </w:rPr>
        <w:t xml:space="preserve">Table 1. </w:t>
      </w:r>
      <w:r w:rsidR="00F06EF8">
        <w:rPr>
          <w:lang w:val="en-GB"/>
        </w:rPr>
        <w:t xml:space="preserve">Determinants of </w:t>
      </w:r>
      <w:r w:rsidR="008737A5">
        <w:rPr>
          <w:lang w:val="en-GB"/>
        </w:rPr>
        <w:t>V4</w:t>
      </w:r>
      <w:r w:rsidR="00F06EF8">
        <w:rPr>
          <w:lang w:val="en-GB"/>
        </w:rPr>
        <w:t xml:space="preserve"> influence in uploading transition experience</w:t>
      </w:r>
    </w:p>
    <w:p w:rsidR="001A7726" w:rsidRDefault="001A7726" w:rsidP="00781441">
      <w:pPr>
        <w:spacing w:line="276" w:lineRule="auto"/>
        <w:rPr>
          <w:lang w:val="en-GB"/>
        </w:rPr>
      </w:pPr>
    </w:p>
    <w:tbl>
      <w:tblPr>
        <w:tblStyle w:val="TableGrid"/>
        <w:tblW w:w="0" w:type="auto"/>
        <w:jc w:val="center"/>
        <w:tblLook w:val="04A0" w:firstRow="1" w:lastRow="0" w:firstColumn="1" w:lastColumn="0" w:noHBand="0" w:noVBand="1"/>
      </w:tblPr>
      <w:tblGrid>
        <w:gridCol w:w="2943"/>
        <w:gridCol w:w="6237"/>
      </w:tblGrid>
      <w:tr w:rsidR="00644A36" w:rsidRPr="00644A36" w:rsidTr="0041584D">
        <w:trPr>
          <w:jc w:val="center"/>
        </w:trPr>
        <w:tc>
          <w:tcPr>
            <w:tcW w:w="2943" w:type="dxa"/>
          </w:tcPr>
          <w:p w:rsidR="00644A36" w:rsidRPr="00F06EF8" w:rsidRDefault="00644A36" w:rsidP="00781441">
            <w:pPr>
              <w:spacing w:line="276" w:lineRule="auto"/>
              <w:rPr>
                <w:b/>
                <w:sz w:val="20"/>
                <w:szCs w:val="20"/>
                <w:lang w:val="en-GB"/>
              </w:rPr>
            </w:pPr>
            <w:r w:rsidRPr="00F06EF8">
              <w:rPr>
                <w:b/>
                <w:sz w:val="20"/>
                <w:szCs w:val="20"/>
                <w:lang w:val="en-GB"/>
              </w:rPr>
              <w:t>Intensity of policy preferences</w:t>
            </w:r>
          </w:p>
        </w:tc>
        <w:tc>
          <w:tcPr>
            <w:tcW w:w="6237" w:type="dxa"/>
          </w:tcPr>
          <w:p w:rsidR="00644A36" w:rsidRPr="00644A36" w:rsidRDefault="00F06EF8" w:rsidP="00F06EF8">
            <w:pPr>
              <w:spacing w:line="276" w:lineRule="auto"/>
              <w:rPr>
                <w:sz w:val="20"/>
                <w:szCs w:val="20"/>
                <w:lang w:val="en-GB"/>
              </w:rPr>
            </w:pPr>
            <w:r>
              <w:rPr>
                <w:sz w:val="20"/>
                <w:szCs w:val="20"/>
                <w:lang w:val="en-GB"/>
              </w:rPr>
              <w:t>Preference for uploading transition experience is h</w:t>
            </w:r>
            <w:r w:rsidR="00295C30">
              <w:rPr>
                <w:sz w:val="20"/>
                <w:szCs w:val="20"/>
                <w:lang w:val="en-GB"/>
              </w:rPr>
              <w:t xml:space="preserve">igh, but development policy </w:t>
            </w:r>
            <w:r>
              <w:rPr>
                <w:sz w:val="20"/>
                <w:szCs w:val="20"/>
                <w:lang w:val="en-GB"/>
              </w:rPr>
              <w:t xml:space="preserve">in general </w:t>
            </w:r>
            <w:r w:rsidR="00295C30">
              <w:rPr>
                <w:sz w:val="20"/>
                <w:szCs w:val="20"/>
                <w:lang w:val="en-GB"/>
              </w:rPr>
              <w:t xml:space="preserve">is </w:t>
            </w:r>
            <w:r>
              <w:rPr>
                <w:sz w:val="20"/>
                <w:szCs w:val="20"/>
                <w:lang w:val="en-GB"/>
              </w:rPr>
              <w:t xml:space="preserve">a </w:t>
            </w:r>
            <w:r w:rsidR="00295C30">
              <w:rPr>
                <w:sz w:val="20"/>
                <w:szCs w:val="20"/>
                <w:lang w:val="en-GB"/>
              </w:rPr>
              <w:t xml:space="preserve">low salience </w:t>
            </w:r>
            <w:r>
              <w:rPr>
                <w:sz w:val="20"/>
                <w:szCs w:val="20"/>
                <w:lang w:val="en-GB"/>
              </w:rPr>
              <w:t xml:space="preserve">issue for </w:t>
            </w:r>
            <w:r w:rsidR="008737A5">
              <w:rPr>
                <w:sz w:val="20"/>
                <w:szCs w:val="20"/>
                <w:lang w:val="en-GB"/>
              </w:rPr>
              <w:t>V4</w:t>
            </w:r>
            <w:r>
              <w:rPr>
                <w:sz w:val="20"/>
                <w:szCs w:val="20"/>
                <w:lang w:val="en-GB"/>
              </w:rPr>
              <w:t xml:space="preserve"> governments.</w:t>
            </w:r>
          </w:p>
        </w:tc>
      </w:tr>
      <w:tr w:rsidR="00644A36" w:rsidRPr="00644A36" w:rsidTr="0041584D">
        <w:trPr>
          <w:jc w:val="center"/>
        </w:trPr>
        <w:tc>
          <w:tcPr>
            <w:tcW w:w="2943" w:type="dxa"/>
          </w:tcPr>
          <w:p w:rsidR="00644A36" w:rsidRPr="00F06EF8" w:rsidRDefault="00644A36" w:rsidP="00644A36">
            <w:pPr>
              <w:spacing w:line="276" w:lineRule="auto"/>
              <w:rPr>
                <w:b/>
                <w:sz w:val="20"/>
                <w:szCs w:val="20"/>
                <w:lang w:val="en-GB"/>
              </w:rPr>
            </w:pPr>
            <w:r w:rsidRPr="00F06EF8">
              <w:rPr>
                <w:b/>
                <w:sz w:val="20"/>
                <w:szCs w:val="20"/>
                <w:lang w:val="en-GB"/>
              </w:rPr>
              <w:t>Skills at alliance building and bargaining</w:t>
            </w:r>
          </w:p>
        </w:tc>
        <w:tc>
          <w:tcPr>
            <w:tcW w:w="6237" w:type="dxa"/>
          </w:tcPr>
          <w:p w:rsidR="00644A36" w:rsidRPr="00644A36" w:rsidRDefault="00F06EF8" w:rsidP="00F06EF8">
            <w:pPr>
              <w:spacing w:line="276" w:lineRule="auto"/>
              <w:rPr>
                <w:sz w:val="20"/>
                <w:szCs w:val="20"/>
                <w:lang w:val="en-GB"/>
              </w:rPr>
            </w:pPr>
            <w:r>
              <w:rPr>
                <w:sz w:val="20"/>
                <w:szCs w:val="20"/>
                <w:lang w:val="en-GB"/>
              </w:rPr>
              <w:t xml:space="preserve">In general, a gradual improvement is visible. But, alliances only </w:t>
            </w:r>
            <w:r w:rsidR="00295C30">
              <w:rPr>
                <w:sz w:val="20"/>
                <w:szCs w:val="20"/>
                <w:lang w:val="en-GB"/>
              </w:rPr>
              <w:t xml:space="preserve">among themselves, </w:t>
            </w:r>
            <w:r>
              <w:rPr>
                <w:sz w:val="20"/>
                <w:szCs w:val="20"/>
                <w:lang w:val="en-GB"/>
              </w:rPr>
              <w:t xml:space="preserve">they </w:t>
            </w:r>
            <w:r w:rsidR="00295C30">
              <w:rPr>
                <w:sz w:val="20"/>
                <w:szCs w:val="20"/>
                <w:lang w:val="en-GB"/>
              </w:rPr>
              <w:t xml:space="preserve">have failed to muster support from older members </w:t>
            </w:r>
            <w:r>
              <w:rPr>
                <w:sz w:val="20"/>
                <w:szCs w:val="20"/>
                <w:lang w:val="en-GB"/>
              </w:rPr>
              <w:t xml:space="preserve">states </w:t>
            </w:r>
            <w:r w:rsidR="00295C30">
              <w:rPr>
                <w:sz w:val="20"/>
                <w:szCs w:val="20"/>
                <w:lang w:val="en-GB"/>
              </w:rPr>
              <w:t>and civil society</w:t>
            </w:r>
            <w:r>
              <w:rPr>
                <w:sz w:val="20"/>
                <w:szCs w:val="20"/>
                <w:lang w:val="en-GB"/>
              </w:rPr>
              <w:t>.</w:t>
            </w:r>
          </w:p>
        </w:tc>
      </w:tr>
      <w:tr w:rsidR="00644A36" w:rsidRPr="00644A36" w:rsidTr="0041584D">
        <w:trPr>
          <w:jc w:val="center"/>
        </w:trPr>
        <w:tc>
          <w:tcPr>
            <w:tcW w:w="2943" w:type="dxa"/>
          </w:tcPr>
          <w:p w:rsidR="00644A36" w:rsidRPr="00F06EF8" w:rsidRDefault="00644A36" w:rsidP="00781441">
            <w:pPr>
              <w:spacing w:line="276" w:lineRule="auto"/>
              <w:rPr>
                <w:b/>
                <w:sz w:val="20"/>
                <w:szCs w:val="20"/>
                <w:lang w:val="en-GB"/>
              </w:rPr>
            </w:pPr>
            <w:r w:rsidRPr="00F06EF8">
              <w:rPr>
                <w:b/>
                <w:sz w:val="20"/>
                <w:szCs w:val="20"/>
                <w:lang w:val="en-GB"/>
              </w:rPr>
              <w:t>Capacities</w:t>
            </w:r>
          </w:p>
        </w:tc>
        <w:tc>
          <w:tcPr>
            <w:tcW w:w="6237" w:type="dxa"/>
          </w:tcPr>
          <w:p w:rsidR="00644A36" w:rsidRPr="00644A36" w:rsidRDefault="00295C30" w:rsidP="00781441">
            <w:pPr>
              <w:spacing w:line="276" w:lineRule="auto"/>
              <w:rPr>
                <w:sz w:val="20"/>
                <w:szCs w:val="20"/>
                <w:lang w:val="en-GB"/>
              </w:rPr>
            </w:pPr>
            <w:r>
              <w:rPr>
                <w:sz w:val="20"/>
                <w:szCs w:val="20"/>
                <w:lang w:val="en-GB"/>
              </w:rPr>
              <w:t>Low</w:t>
            </w:r>
            <w:r w:rsidR="00F06EF8">
              <w:rPr>
                <w:sz w:val="20"/>
                <w:szCs w:val="20"/>
                <w:lang w:val="en-GB"/>
              </w:rPr>
              <w:t xml:space="preserve"> staff levels, career diplomats, frequent rotation, low prestige of development within MFAs, and lack of instructions from capitals.</w:t>
            </w:r>
          </w:p>
        </w:tc>
      </w:tr>
      <w:tr w:rsidR="00644A36" w:rsidRPr="00644A36" w:rsidTr="0041584D">
        <w:trPr>
          <w:jc w:val="center"/>
        </w:trPr>
        <w:tc>
          <w:tcPr>
            <w:tcW w:w="2943" w:type="dxa"/>
          </w:tcPr>
          <w:p w:rsidR="00644A36" w:rsidRPr="00F06EF8" w:rsidRDefault="00644A36" w:rsidP="00644A36">
            <w:pPr>
              <w:spacing w:line="276" w:lineRule="auto"/>
              <w:rPr>
                <w:b/>
                <w:sz w:val="20"/>
                <w:szCs w:val="20"/>
                <w:lang w:val="en-GB"/>
              </w:rPr>
            </w:pPr>
            <w:r w:rsidRPr="00F06EF8">
              <w:rPr>
                <w:b/>
                <w:sz w:val="20"/>
                <w:szCs w:val="20"/>
                <w:lang w:val="en-GB"/>
              </w:rPr>
              <w:t>The ability to argue for Community interest</w:t>
            </w:r>
          </w:p>
        </w:tc>
        <w:tc>
          <w:tcPr>
            <w:tcW w:w="6237" w:type="dxa"/>
          </w:tcPr>
          <w:p w:rsidR="00644A36" w:rsidRPr="00644A36" w:rsidRDefault="00F06EF8" w:rsidP="00781441">
            <w:pPr>
              <w:spacing w:line="276" w:lineRule="auto"/>
              <w:rPr>
                <w:sz w:val="20"/>
                <w:szCs w:val="20"/>
                <w:lang w:val="en-GB"/>
              </w:rPr>
            </w:pPr>
            <w:r>
              <w:rPr>
                <w:sz w:val="20"/>
                <w:szCs w:val="20"/>
                <w:lang w:val="en-GB"/>
              </w:rPr>
              <w:t xml:space="preserve">Attempts made, but not convincing; transition experience </w:t>
            </w:r>
            <w:r w:rsidR="00691BC8">
              <w:rPr>
                <w:sz w:val="20"/>
                <w:szCs w:val="20"/>
                <w:lang w:val="en-GB"/>
              </w:rPr>
              <w:t xml:space="preserve">is vague in content and is </w:t>
            </w:r>
            <w:r>
              <w:rPr>
                <w:sz w:val="20"/>
                <w:szCs w:val="20"/>
                <w:lang w:val="en-GB"/>
              </w:rPr>
              <w:t xml:space="preserve">seen as ‘the thing of the </w:t>
            </w:r>
            <w:r w:rsidR="008737A5">
              <w:rPr>
                <w:sz w:val="20"/>
                <w:szCs w:val="20"/>
                <w:lang w:val="en-GB"/>
              </w:rPr>
              <w:t>V4</w:t>
            </w:r>
            <w:r>
              <w:rPr>
                <w:sz w:val="20"/>
                <w:szCs w:val="20"/>
                <w:lang w:val="en-GB"/>
              </w:rPr>
              <w:t xml:space="preserve"> countries’.</w:t>
            </w:r>
          </w:p>
        </w:tc>
      </w:tr>
      <w:tr w:rsidR="00644A36" w:rsidRPr="00644A36" w:rsidTr="0041584D">
        <w:trPr>
          <w:jc w:val="center"/>
        </w:trPr>
        <w:tc>
          <w:tcPr>
            <w:tcW w:w="2943" w:type="dxa"/>
          </w:tcPr>
          <w:p w:rsidR="00644A36" w:rsidRPr="00F06EF8" w:rsidRDefault="00644A36" w:rsidP="00644A36">
            <w:pPr>
              <w:spacing w:line="276" w:lineRule="auto"/>
              <w:rPr>
                <w:b/>
                <w:sz w:val="20"/>
                <w:szCs w:val="20"/>
                <w:lang w:val="en-GB"/>
              </w:rPr>
            </w:pPr>
            <w:r w:rsidRPr="00F06EF8">
              <w:rPr>
                <w:b/>
                <w:sz w:val="20"/>
                <w:szCs w:val="20"/>
                <w:lang w:val="en-GB"/>
              </w:rPr>
              <w:t>Receptiveness of other member states</w:t>
            </w:r>
          </w:p>
        </w:tc>
        <w:tc>
          <w:tcPr>
            <w:tcW w:w="6237" w:type="dxa"/>
          </w:tcPr>
          <w:p w:rsidR="00644A36" w:rsidRPr="00644A36" w:rsidRDefault="00295C30" w:rsidP="00F06EF8">
            <w:pPr>
              <w:spacing w:line="276" w:lineRule="auto"/>
              <w:rPr>
                <w:sz w:val="20"/>
                <w:szCs w:val="20"/>
                <w:lang w:val="en-GB"/>
              </w:rPr>
            </w:pPr>
            <w:r>
              <w:rPr>
                <w:sz w:val="20"/>
                <w:szCs w:val="20"/>
                <w:lang w:val="en-GB"/>
              </w:rPr>
              <w:t xml:space="preserve">Low, transition experience is seen as a threat to the status quo of </w:t>
            </w:r>
            <w:r w:rsidR="00F06EF8">
              <w:rPr>
                <w:sz w:val="20"/>
                <w:szCs w:val="20"/>
                <w:lang w:val="en-GB"/>
              </w:rPr>
              <w:t>EU’s common</w:t>
            </w:r>
            <w:r>
              <w:rPr>
                <w:sz w:val="20"/>
                <w:szCs w:val="20"/>
                <w:lang w:val="en-GB"/>
              </w:rPr>
              <w:t xml:space="preserve"> development policy</w:t>
            </w:r>
            <w:r w:rsidR="00F06EF8">
              <w:rPr>
                <w:sz w:val="20"/>
                <w:szCs w:val="20"/>
                <w:lang w:val="en-GB"/>
              </w:rPr>
              <w:t>.</w:t>
            </w:r>
          </w:p>
        </w:tc>
      </w:tr>
    </w:tbl>
    <w:p w:rsidR="00644A36" w:rsidRDefault="00644A36" w:rsidP="00781441">
      <w:pPr>
        <w:spacing w:line="276" w:lineRule="auto"/>
        <w:rPr>
          <w:lang w:val="en-GB"/>
        </w:rPr>
      </w:pPr>
    </w:p>
    <w:p w:rsidR="00F06EF8" w:rsidRPr="00F06EF8" w:rsidRDefault="00F06EF8" w:rsidP="00F06EF8">
      <w:pPr>
        <w:spacing w:line="276" w:lineRule="auto"/>
        <w:jc w:val="center"/>
        <w:rPr>
          <w:sz w:val="20"/>
          <w:szCs w:val="20"/>
          <w:lang w:val="en-GB"/>
        </w:rPr>
      </w:pPr>
      <w:r w:rsidRPr="00F06EF8">
        <w:rPr>
          <w:sz w:val="20"/>
          <w:szCs w:val="20"/>
          <w:lang w:val="en-GB"/>
        </w:rPr>
        <w:t>Source: authors</w:t>
      </w:r>
    </w:p>
    <w:p w:rsidR="00644A36" w:rsidRDefault="00644A36" w:rsidP="00781441">
      <w:pPr>
        <w:spacing w:line="276" w:lineRule="auto"/>
        <w:rPr>
          <w:lang w:val="en-GB"/>
        </w:rPr>
      </w:pPr>
    </w:p>
    <w:p w:rsidR="00147A3C" w:rsidRDefault="00505563" w:rsidP="000E5703">
      <w:pPr>
        <w:spacing w:line="276" w:lineRule="auto"/>
        <w:jc w:val="both"/>
        <w:rPr>
          <w:lang w:val="en-GB"/>
        </w:rPr>
      </w:pPr>
      <w:r>
        <w:rPr>
          <w:lang w:val="en-GB"/>
        </w:rPr>
        <w:t xml:space="preserve">There is a clear sense that transition experience </w:t>
      </w:r>
      <w:r w:rsidR="00147A3C">
        <w:rPr>
          <w:lang w:val="en-GB"/>
        </w:rPr>
        <w:t xml:space="preserve">at a broad level is </w:t>
      </w:r>
      <w:r>
        <w:rPr>
          <w:lang w:val="en-GB"/>
        </w:rPr>
        <w:t xml:space="preserve">a comparative advantage of the </w:t>
      </w:r>
      <w:r w:rsidR="008737A5">
        <w:rPr>
          <w:lang w:val="en-GB"/>
        </w:rPr>
        <w:t>V4</w:t>
      </w:r>
      <w:r w:rsidR="00926D0C">
        <w:rPr>
          <w:lang w:val="en-GB"/>
        </w:rPr>
        <w:t xml:space="preserve"> countries in international development</w:t>
      </w:r>
      <w:r>
        <w:rPr>
          <w:lang w:val="en-GB"/>
        </w:rPr>
        <w:t xml:space="preserve">. </w:t>
      </w:r>
      <w:r w:rsidR="000E5703">
        <w:rPr>
          <w:lang w:val="en-GB"/>
        </w:rPr>
        <w:t xml:space="preserve">However, the </w:t>
      </w:r>
      <w:r w:rsidR="008737A5">
        <w:rPr>
          <w:lang w:val="en-GB"/>
        </w:rPr>
        <w:t>V4</w:t>
      </w:r>
      <w:r w:rsidR="000E5703">
        <w:rPr>
          <w:lang w:val="en-GB"/>
        </w:rPr>
        <w:t xml:space="preserve"> states generally ascribe relatively low weight to development policy. </w:t>
      </w:r>
      <w:r w:rsidR="00147A3C" w:rsidRPr="00147A3C">
        <w:rPr>
          <w:lang w:val="en-GB"/>
        </w:rPr>
        <w:t>While there are some variations between the</w:t>
      </w:r>
      <w:r w:rsidR="000E5703">
        <w:rPr>
          <w:lang w:val="en-GB"/>
        </w:rPr>
        <w:t>m</w:t>
      </w:r>
      <w:r w:rsidR="00147A3C" w:rsidRPr="00147A3C">
        <w:rPr>
          <w:lang w:val="en-GB"/>
        </w:rPr>
        <w:t>, arguably the intensity of preferences in low in all cases. Policies like structural and regional policy or agricultural policy are highly salient for the new member states, and development is not.</w:t>
      </w:r>
      <w:r w:rsidR="003E32A4">
        <w:rPr>
          <w:lang w:val="en-GB"/>
        </w:rPr>
        <w:t xml:space="preserve"> Given the lack of salience it is perhaps unsurprising that the NMS have not been successful at building alliances or bargaining as they have very little to bargain in this p</w:t>
      </w:r>
      <w:r w:rsidR="000E5703">
        <w:rPr>
          <w:lang w:val="en-GB"/>
        </w:rPr>
        <w:t xml:space="preserve">olicy </w:t>
      </w:r>
      <w:r w:rsidR="000E5703">
        <w:rPr>
          <w:lang w:val="en-GB"/>
        </w:rPr>
        <w:lastRenderedPageBreak/>
        <w:t>area</w:t>
      </w:r>
      <w:r w:rsidR="003E32A4">
        <w:rPr>
          <w:lang w:val="en-GB"/>
        </w:rPr>
        <w:t xml:space="preserve">. </w:t>
      </w:r>
      <w:r w:rsidR="000E5703">
        <w:rPr>
          <w:lang w:val="en-GB"/>
        </w:rPr>
        <w:t>Admittedly</w:t>
      </w:r>
      <w:r w:rsidR="003E32A4">
        <w:rPr>
          <w:lang w:val="en-GB"/>
        </w:rPr>
        <w:t xml:space="preserve">, the </w:t>
      </w:r>
      <w:r w:rsidR="008737A5">
        <w:rPr>
          <w:lang w:val="en-GB"/>
        </w:rPr>
        <w:t>V4</w:t>
      </w:r>
      <w:r w:rsidR="003E32A4">
        <w:rPr>
          <w:lang w:val="en-GB"/>
        </w:rPr>
        <w:t xml:space="preserve"> states are only just learning how to play the game in Brussels in relation to building alliances and the example of the Eastern Partnership shows that some states are able to join forces with other </w:t>
      </w:r>
      <w:r w:rsidR="000E5703">
        <w:rPr>
          <w:lang w:val="en-GB"/>
        </w:rPr>
        <w:t xml:space="preserve">(older) </w:t>
      </w:r>
      <w:r w:rsidR="003E32A4">
        <w:rPr>
          <w:lang w:val="en-GB"/>
        </w:rPr>
        <w:t>member states and pitch a policy proposal as being in the Community interest</w:t>
      </w:r>
      <w:r w:rsidR="00A617B6">
        <w:rPr>
          <w:lang w:val="en-GB"/>
        </w:rPr>
        <w:t xml:space="preserve"> (see </w:t>
      </w:r>
      <w:proofErr w:type="spellStart"/>
      <w:r w:rsidR="00A617B6">
        <w:rPr>
          <w:lang w:val="en-GB"/>
        </w:rPr>
        <w:t>P</w:t>
      </w:r>
      <w:r w:rsidR="00A617B6" w:rsidRPr="00A617B6">
        <w:rPr>
          <w:lang w:val="en-GB"/>
        </w:rPr>
        <w:t>omorska</w:t>
      </w:r>
      <w:proofErr w:type="spellEnd"/>
      <w:r w:rsidR="00A617B6">
        <w:rPr>
          <w:lang w:val="en-GB"/>
        </w:rPr>
        <w:t xml:space="preserve"> </w:t>
      </w:r>
      <w:r w:rsidR="00A617B6" w:rsidRPr="00A617B6">
        <w:rPr>
          <w:lang w:val="en-GB"/>
        </w:rPr>
        <w:t>2011</w:t>
      </w:r>
      <w:r w:rsidR="00A617B6">
        <w:rPr>
          <w:lang w:val="en-GB"/>
        </w:rPr>
        <w:t xml:space="preserve">). </w:t>
      </w:r>
      <w:r w:rsidR="003E32A4">
        <w:rPr>
          <w:lang w:val="en-GB"/>
        </w:rPr>
        <w:t xml:space="preserve">The lack of capacity, in relation to </w:t>
      </w:r>
      <w:r w:rsidR="00147A3C" w:rsidRPr="00147A3C">
        <w:rPr>
          <w:lang w:val="en-GB"/>
        </w:rPr>
        <w:t>skilful diplomats, a clear policy position, instructions from the capital</w:t>
      </w:r>
      <w:r w:rsidR="003E32A4">
        <w:rPr>
          <w:lang w:val="en-GB"/>
        </w:rPr>
        <w:t xml:space="preserve"> etc</w:t>
      </w:r>
      <w:r w:rsidR="000E5703">
        <w:rPr>
          <w:lang w:val="en-GB"/>
        </w:rPr>
        <w:t>.</w:t>
      </w:r>
      <w:r w:rsidR="003E32A4">
        <w:rPr>
          <w:lang w:val="en-GB"/>
        </w:rPr>
        <w:t xml:space="preserve">, adds to the factors that hamper the influence of the NMS. </w:t>
      </w:r>
    </w:p>
    <w:p w:rsidR="003E32A4" w:rsidRDefault="003E32A4" w:rsidP="00781441">
      <w:pPr>
        <w:spacing w:line="276" w:lineRule="auto"/>
        <w:rPr>
          <w:lang w:val="en-GB"/>
        </w:rPr>
      </w:pPr>
    </w:p>
    <w:p w:rsidR="00596804" w:rsidRDefault="00F35C4D" w:rsidP="00AD0D34">
      <w:pPr>
        <w:spacing w:line="276" w:lineRule="auto"/>
        <w:jc w:val="both"/>
        <w:rPr>
          <w:lang w:val="en-GB"/>
        </w:rPr>
      </w:pPr>
      <w:r>
        <w:rPr>
          <w:lang w:val="en-GB"/>
        </w:rPr>
        <w:t>This conclusion runs counter to e</w:t>
      </w:r>
      <w:r w:rsidR="003E32A4">
        <w:rPr>
          <w:lang w:val="en-GB"/>
        </w:rPr>
        <w:t>xamples from other policy areas</w:t>
      </w:r>
      <w:r w:rsidR="00AD0D34">
        <w:rPr>
          <w:lang w:val="en-GB"/>
        </w:rPr>
        <w:t>, which</w:t>
      </w:r>
      <w:r w:rsidR="003E32A4">
        <w:rPr>
          <w:lang w:val="en-GB"/>
        </w:rPr>
        <w:t xml:space="preserve"> show that the </w:t>
      </w:r>
      <w:r w:rsidR="008737A5">
        <w:rPr>
          <w:lang w:val="en-GB"/>
        </w:rPr>
        <w:t>V4</w:t>
      </w:r>
      <w:r w:rsidR="00AD0D34">
        <w:rPr>
          <w:lang w:val="en-GB"/>
        </w:rPr>
        <w:t xml:space="preserve"> countries </w:t>
      </w:r>
      <w:r w:rsidR="003E32A4">
        <w:rPr>
          <w:lang w:val="en-GB"/>
        </w:rPr>
        <w:t>can influence policy preferences (Thomson 2010</w:t>
      </w:r>
      <w:r w:rsidR="00AD0D34">
        <w:rPr>
          <w:lang w:val="en-GB"/>
        </w:rPr>
        <w:t>:</w:t>
      </w:r>
      <w:r w:rsidR="003E32A4">
        <w:rPr>
          <w:lang w:val="en-GB"/>
        </w:rPr>
        <w:t xml:space="preserve"> 256). </w:t>
      </w:r>
      <w:r>
        <w:rPr>
          <w:lang w:val="en-GB"/>
        </w:rPr>
        <w:t xml:space="preserve">Is this therefore an example of weakness in relation to foreign policy or development policy? </w:t>
      </w:r>
      <w:r w:rsidRPr="00F35C4D">
        <w:rPr>
          <w:lang w:val="en-GB"/>
        </w:rPr>
        <w:t>Bilčík</w:t>
      </w:r>
      <w:r>
        <w:rPr>
          <w:lang w:val="en-GB"/>
        </w:rPr>
        <w:t xml:space="preserve"> (2010) argues that in strategically important areas, the </w:t>
      </w:r>
      <w:r w:rsidR="007274B4">
        <w:rPr>
          <w:lang w:val="en-GB"/>
        </w:rPr>
        <w:t>V4</w:t>
      </w:r>
      <w:r w:rsidR="00AD0D34">
        <w:rPr>
          <w:lang w:val="en-GB"/>
        </w:rPr>
        <w:t xml:space="preserve"> countries</w:t>
      </w:r>
      <w:r>
        <w:rPr>
          <w:lang w:val="en-GB"/>
        </w:rPr>
        <w:t xml:space="preserve"> have </w:t>
      </w:r>
      <w:r w:rsidR="00AD0D34">
        <w:rPr>
          <w:lang w:val="en-GB"/>
        </w:rPr>
        <w:t xml:space="preserve">successfully </w:t>
      </w:r>
      <w:r>
        <w:rPr>
          <w:lang w:val="en-GB"/>
        </w:rPr>
        <w:t>uploaded their policy preferences.</w:t>
      </w:r>
      <w:r w:rsidR="00557534">
        <w:rPr>
          <w:lang w:val="en-GB"/>
        </w:rPr>
        <w:t xml:space="preserve"> Recent research suggests that the</w:t>
      </w:r>
      <w:r>
        <w:rPr>
          <w:lang w:val="en-GB"/>
        </w:rPr>
        <w:t xml:space="preserve"> </w:t>
      </w:r>
      <w:r w:rsidR="007274B4">
        <w:rPr>
          <w:lang w:val="en-GB"/>
        </w:rPr>
        <w:t>‘</w:t>
      </w:r>
      <w:r w:rsidR="007274B4" w:rsidRPr="007274B4">
        <w:rPr>
          <w:lang w:val="en-GB"/>
        </w:rPr>
        <w:t>V4 is not dead. It works best on non-controversial issues—transport infrastructure, energy security (especially gas interconnectors), and on questions where the V4 share a common position on EU questions, such as deepening the single market. In short, V4 works on matters where agreement does not require a large dose of political capital</w:t>
      </w:r>
      <w:r w:rsidR="007274B4">
        <w:rPr>
          <w:lang w:val="en-GB"/>
        </w:rPr>
        <w:t>’</w:t>
      </w:r>
      <w:r w:rsidR="00557534">
        <w:rPr>
          <w:lang w:val="en-GB"/>
        </w:rPr>
        <w:t xml:space="preserve"> (Lucas 2014)</w:t>
      </w:r>
      <w:r w:rsidR="007274B4">
        <w:rPr>
          <w:lang w:val="en-GB"/>
        </w:rPr>
        <w:t xml:space="preserve">. </w:t>
      </w:r>
      <w:r>
        <w:rPr>
          <w:lang w:val="en-GB"/>
        </w:rPr>
        <w:t xml:space="preserve">It therefore looks more likely that the issue lies with the broad development policy area. In part this is because </w:t>
      </w:r>
      <w:r w:rsidR="00AD0D34">
        <w:rPr>
          <w:lang w:val="en-GB"/>
        </w:rPr>
        <w:t xml:space="preserve">the </w:t>
      </w:r>
      <w:r w:rsidR="008737A5">
        <w:rPr>
          <w:lang w:val="en-GB"/>
        </w:rPr>
        <w:t>V4</w:t>
      </w:r>
      <w:r w:rsidR="00AD0D34">
        <w:rPr>
          <w:lang w:val="en-GB"/>
        </w:rPr>
        <w:t xml:space="preserve"> states</w:t>
      </w:r>
      <w:r>
        <w:rPr>
          <w:lang w:val="en-GB"/>
        </w:rPr>
        <w:t xml:space="preserve"> have focused on maximising their influence on a narrow range of issues. It is only now, ten years on, that they might be able to consider influence across all the policy options within the EU. </w:t>
      </w:r>
      <w:r w:rsidR="00AC3D97">
        <w:rPr>
          <w:lang w:val="en-GB"/>
        </w:rPr>
        <w:t xml:space="preserve">Membership </w:t>
      </w:r>
      <w:r w:rsidR="00CE60B9">
        <w:rPr>
          <w:lang w:val="en-GB"/>
        </w:rPr>
        <w:t>of</w:t>
      </w:r>
      <w:r w:rsidR="00AC3D97">
        <w:rPr>
          <w:lang w:val="en-GB"/>
        </w:rPr>
        <w:t xml:space="preserve"> the </w:t>
      </w:r>
      <w:r w:rsidR="00AD0D34">
        <w:rPr>
          <w:lang w:val="en-GB"/>
        </w:rPr>
        <w:t xml:space="preserve">OECD </w:t>
      </w:r>
      <w:r w:rsidR="00AC3D97">
        <w:rPr>
          <w:lang w:val="en-GB"/>
        </w:rPr>
        <w:t xml:space="preserve">DAC and the growing importance of aid policy </w:t>
      </w:r>
      <w:proofErr w:type="gramStart"/>
      <w:r w:rsidR="00AC3D97">
        <w:rPr>
          <w:lang w:val="en-GB"/>
        </w:rPr>
        <w:t>means</w:t>
      </w:r>
      <w:proofErr w:type="gramEnd"/>
      <w:r w:rsidR="00AC3D97">
        <w:rPr>
          <w:lang w:val="en-GB"/>
        </w:rPr>
        <w:t xml:space="preserve"> that </w:t>
      </w:r>
      <w:r w:rsidR="00AD0D34">
        <w:rPr>
          <w:lang w:val="en-GB"/>
        </w:rPr>
        <w:t xml:space="preserve">the </w:t>
      </w:r>
      <w:r w:rsidR="008737A5">
        <w:rPr>
          <w:lang w:val="en-GB"/>
        </w:rPr>
        <w:t>V4</w:t>
      </w:r>
      <w:r w:rsidR="00AD0D34">
        <w:rPr>
          <w:lang w:val="en-GB"/>
        </w:rPr>
        <w:t xml:space="preserve"> states</w:t>
      </w:r>
      <w:r w:rsidR="00AC3D97">
        <w:rPr>
          <w:lang w:val="en-GB"/>
        </w:rPr>
        <w:t xml:space="preserve"> will be expected to do more in this field. This should involve </w:t>
      </w:r>
      <w:r w:rsidR="00AD0D34">
        <w:rPr>
          <w:lang w:val="en-GB"/>
        </w:rPr>
        <w:t xml:space="preserve">(but not be limited to) </w:t>
      </w:r>
      <w:r w:rsidR="00AC3D97">
        <w:rPr>
          <w:lang w:val="en-GB"/>
        </w:rPr>
        <w:t xml:space="preserve">articulating what transition experience is in concrete examples and also situate it </w:t>
      </w:r>
      <w:r w:rsidR="00AD0D34">
        <w:rPr>
          <w:lang w:val="en-GB"/>
        </w:rPr>
        <w:t xml:space="preserve">better </w:t>
      </w:r>
      <w:r w:rsidR="00AC3D97">
        <w:rPr>
          <w:lang w:val="en-GB"/>
        </w:rPr>
        <w:t xml:space="preserve">in the Community interest. Building up capacity </w:t>
      </w:r>
      <w:r w:rsidR="00035397">
        <w:rPr>
          <w:lang w:val="en-GB"/>
        </w:rPr>
        <w:t xml:space="preserve">and experience should also allow them to play the Brussels game and upload national policy preferences onto the EU external relations agenda more regularly, as the evidence from other policy areas suggests they are doing already. </w:t>
      </w:r>
    </w:p>
    <w:p w:rsidR="00AD0D34" w:rsidRDefault="00AD0D34" w:rsidP="00AD0D34">
      <w:pPr>
        <w:spacing w:line="276" w:lineRule="auto"/>
        <w:jc w:val="both"/>
        <w:rPr>
          <w:lang w:val="en-GB"/>
        </w:rPr>
      </w:pPr>
    </w:p>
    <w:p w:rsidR="00AD0D34" w:rsidRDefault="00AD0D34" w:rsidP="00AD0D34">
      <w:pPr>
        <w:spacing w:line="276" w:lineRule="auto"/>
        <w:jc w:val="both"/>
        <w:rPr>
          <w:b/>
          <w:lang w:val="en-GB"/>
        </w:rPr>
      </w:pPr>
    </w:p>
    <w:p w:rsidR="004E6D0D" w:rsidRDefault="004E6D0D" w:rsidP="00781441">
      <w:pPr>
        <w:spacing w:line="276" w:lineRule="auto"/>
        <w:rPr>
          <w:b/>
          <w:lang w:val="en-GB"/>
        </w:rPr>
      </w:pPr>
    </w:p>
    <w:p w:rsidR="004E6D0D" w:rsidRDefault="004E6D0D" w:rsidP="00781441">
      <w:pPr>
        <w:spacing w:line="276" w:lineRule="auto"/>
        <w:rPr>
          <w:b/>
          <w:lang w:val="en-GB"/>
        </w:rPr>
      </w:pPr>
    </w:p>
    <w:p w:rsidR="004E6D0D" w:rsidRDefault="004E6D0D" w:rsidP="00781441">
      <w:pPr>
        <w:spacing w:line="276" w:lineRule="auto"/>
        <w:rPr>
          <w:b/>
          <w:lang w:val="en-GB"/>
        </w:rPr>
      </w:pPr>
    </w:p>
    <w:p w:rsidR="004E6D0D" w:rsidRDefault="004E6D0D" w:rsidP="00781441">
      <w:pPr>
        <w:spacing w:line="276" w:lineRule="auto"/>
        <w:rPr>
          <w:b/>
          <w:lang w:val="en-GB"/>
        </w:rPr>
      </w:pPr>
    </w:p>
    <w:p w:rsidR="004E6D0D" w:rsidRDefault="004E6D0D" w:rsidP="00781441">
      <w:pPr>
        <w:spacing w:line="276" w:lineRule="auto"/>
        <w:rPr>
          <w:b/>
          <w:lang w:val="en-GB"/>
        </w:rPr>
      </w:pPr>
    </w:p>
    <w:p w:rsidR="004E6D0D" w:rsidRDefault="004E6D0D" w:rsidP="00781441">
      <w:pPr>
        <w:spacing w:line="276" w:lineRule="auto"/>
        <w:rPr>
          <w:b/>
          <w:lang w:val="en-GB"/>
        </w:rPr>
      </w:pPr>
    </w:p>
    <w:p w:rsidR="004E6D0D" w:rsidRDefault="004E6D0D" w:rsidP="00781441">
      <w:pPr>
        <w:spacing w:line="276" w:lineRule="auto"/>
        <w:rPr>
          <w:b/>
          <w:lang w:val="en-GB"/>
        </w:rPr>
      </w:pPr>
    </w:p>
    <w:p w:rsidR="004E6D0D" w:rsidRDefault="004E6D0D" w:rsidP="00781441">
      <w:pPr>
        <w:spacing w:line="276" w:lineRule="auto"/>
        <w:rPr>
          <w:b/>
          <w:lang w:val="en-GB"/>
        </w:rPr>
      </w:pPr>
    </w:p>
    <w:p w:rsidR="0025799C" w:rsidRPr="0088643A" w:rsidRDefault="007B0A53" w:rsidP="00781441">
      <w:pPr>
        <w:spacing w:line="276" w:lineRule="auto"/>
        <w:rPr>
          <w:b/>
          <w:lang w:val="en-GB"/>
        </w:rPr>
      </w:pPr>
      <w:r w:rsidRPr="0088643A">
        <w:rPr>
          <w:b/>
          <w:lang w:val="en-GB"/>
        </w:rPr>
        <w:t>References</w:t>
      </w:r>
    </w:p>
    <w:p w:rsidR="006C13E4" w:rsidRPr="00C452D7" w:rsidRDefault="00C452D7" w:rsidP="00C452D7">
      <w:pPr>
        <w:tabs>
          <w:tab w:val="num" w:pos="709"/>
        </w:tabs>
        <w:spacing w:after="120" w:line="276" w:lineRule="auto"/>
        <w:ind w:left="709" w:hanging="709"/>
        <w:rPr>
          <w:lang w:val="en-US"/>
        </w:rPr>
      </w:pPr>
      <w:proofErr w:type="spellStart"/>
      <w:r w:rsidRPr="00C452D7">
        <w:rPr>
          <w:lang w:val="en-US"/>
        </w:rPr>
        <w:t>Arregui</w:t>
      </w:r>
      <w:proofErr w:type="spellEnd"/>
      <w:r w:rsidRPr="00C452D7">
        <w:rPr>
          <w:lang w:val="en-US"/>
        </w:rPr>
        <w:t>, J. and</w:t>
      </w:r>
      <w:r w:rsidR="006C13E4" w:rsidRPr="00C452D7">
        <w:rPr>
          <w:lang w:val="en-US"/>
        </w:rPr>
        <w:t xml:space="preserve"> Thomson, R. (2009) </w:t>
      </w:r>
      <w:r w:rsidR="007C2F0F">
        <w:rPr>
          <w:lang w:val="en-US"/>
        </w:rPr>
        <w:t>‘</w:t>
      </w:r>
      <w:r w:rsidR="006C13E4" w:rsidRPr="00C452D7">
        <w:rPr>
          <w:lang w:val="en-US"/>
        </w:rPr>
        <w:t>States’ Bargaining Success in the European Union</w:t>
      </w:r>
      <w:r w:rsidR="007C2F0F">
        <w:rPr>
          <w:lang w:val="en-US"/>
        </w:rPr>
        <w:t>’</w:t>
      </w:r>
      <w:r w:rsidR="006C13E4" w:rsidRPr="00C452D7">
        <w:rPr>
          <w:lang w:val="en-US"/>
        </w:rPr>
        <w:t xml:space="preserve">, </w:t>
      </w:r>
      <w:r w:rsidR="006C13E4" w:rsidRPr="00C452D7">
        <w:rPr>
          <w:i/>
          <w:lang w:val="en-US"/>
        </w:rPr>
        <w:t>Journal of European Public Policy</w:t>
      </w:r>
      <w:r w:rsidR="006C13E4" w:rsidRPr="00C452D7">
        <w:rPr>
          <w:lang w:val="en-US"/>
        </w:rPr>
        <w:t xml:space="preserve"> 16</w:t>
      </w:r>
      <w:r w:rsidRPr="00C452D7">
        <w:rPr>
          <w:lang w:val="en-US"/>
        </w:rPr>
        <w:t xml:space="preserve">(5): </w:t>
      </w:r>
      <w:r w:rsidRPr="00C452D7">
        <w:t>655-676.</w:t>
      </w:r>
    </w:p>
    <w:p w:rsidR="00A617B6" w:rsidRPr="00C452D7" w:rsidRDefault="00A617B6" w:rsidP="00C452D7">
      <w:pPr>
        <w:tabs>
          <w:tab w:val="num" w:pos="709"/>
        </w:tabs>
        <w:spacing w:after="120" w:line="276" w:lineRule="auto"/>
        <w:ind w:left="709" w:hanging="709"/>
        <w:rPr>
          <w:lang w:val="en-US"/>
        </w:rPr>
      </w:pPr>
      <w:r w:rsidRPr="00C452D7">
        <w:rPr>
          <w:lang w:val="en-US"/>
        </w:rPr>
        <w:t>Baun, M. and Marek, D. (</w:t>
      </w:r>
      <w:proofErr w:type="gramStart"/>
      <w:r w:rsidRPr="00C452D7">
        <w:rPr>
          <w:lang w:val="en-US"/>
        </w:rPr>
        <w:t>eds</w:t>
      </w:r>
      <w:proofErr w:type="gramEnd"/>
      <w:r w:rsidRPr="00C452D7">
        <w:rPr>
          <w:lang w:val="en-US"/>
        </w:rPr>
        <w:t xml:space="preserve">) (2013) </w:t>
      </w:r>
      <w:r w:rsidRPr="00C452D7">
        <w:rPr>
          <w:i/>
          <w:lang w:val="en-US"/>
        </w:rPr>
        <w:t>The New Member States and the European Union: Foreign Policy and Europeanization</w:t>
      </w:r>
      <w:r w:rsidR="007C2F0F">
        <w:rPr>
          <w:i/>
          <w:lang w:val="en-US"/>
        </w:rPr>
        <w:t xml:space="preserve">, </w:t>
      </w:r>
      <w:r w:rsidRPr="00C452D7">
        <w:rPr>
          <w:lang w:val="en-US"/>
        </w:rPr>
        <w:t>Abingdon: Routledge.</w:t>
      </w:r>
    </w:p>
    <w:p w:rsidR="00035397" w:rsidRPr="00C452D7" w:rsidRDefault="00035397" w:rsidP="00C452D7">
      <w:pPr>
        <w:tabs>
          <w:tab w:val="num" w:pos="709"/>
        </w:tabs>
        <w:spacing w:after="120" w:line="276" w:lineRule="auto"/>
        <w:ind w:left="709" w:hanging="709"/>
        <w:rPr>
          <w:lang w:val="en-US"/>
        </w:rPr>
      </w:pPr>
      <w:proofErr w:type="gramStart"/>
      <w:r w:rsidRPr="00C452D7">
        <w:rPr>
          <w:lang w:val="en-US"/>
        </w:rPr>
        <w:t xml:space="preserve">Bilčík, V. (2010) </w:t>
      </w:r>
      <w:r w:rsidR="007C2F0F">
        <w:rPr>
          <w:lang w:val="en-US"/>
        </w:rPr>
        <w:t>‘</w:t>
      </w:r>
      <w:r w:rsidRPr="00C452D7">
        <w:rPr>
          <w:lang w:val="en-US"/>
        </w:rPr>
        <w:t>Foreign and Security Policy Preferences</w:t>
      </w:r>
      <w:r w:rsidR="007C2F0F">
        <w:rPr>
          <w:lang w:val="en-US"/>
        </w:rPr>
        <w:t>’</w:t>
      </w:r>
      <w:r w:rsidR="00C452D7" w:rsidRPr="00C452D7">
        <w:rPr>
          <w:lang w:val="en-US"/>
        </w:rPr>
        <w:t>,</w:t>
      </w:r>
      <w:r w:rsidR="00A617B6" w:rsidRPr="00C452D7">
        <w:rPr>
          <w:lang w:val="en-US"/>
        </w:rPr>
        <w:t xml:space="preserve"> in </w:t>
      </w:r>
      <w:r w:rsidR="007C2F0F">
        <w:rPr>
          <w:lang w:val="en-US"/>
        </w:rPr>
        <w:t xml:space="preserve">D. </w:t>
      </w:r>
      <w:proofErr w:type="spellStart"/>
      <w:r w:rsidRPr="00C452D7">
        <w:rPr>
          <w:lang w:val="en-US"/>
        </w:rPr>
        <w:t>Malová</w:t>
      </w:r>
      <w:proofErr w:type="spellEnd"/>
      <w:r w:rsidR="00C452D7" w:rsidRPr="00C452D7">
        <w:rPr>
          <w:lang w:val="en-US"/>
        </w:rPr>
        <w:t>.</w:t>
      </w:r>
      <w:proofErr w:type="gramEnd"/>
      <w:r w:rsidR="00A617B6" w:rsidRPr="00C452D7">
        <w:rPr>
          <w:lang w:val="en-US"/>
        </w:rPr>
        <w:t xml:space="preserve"> </w:t>
      </w:r>
      <w:proofErr w:type="gramStart"/>
      <w:r w:rsidR="00A617B6" w:rsidRPr="00C452D7">
        <w:rPr>
          <w:lang w:val="en-US"/>
        </w:rPr>
        <w:t>et</w:t>
      </w:r>
      <w:proofErr w:type="gramEnd"/>
      <w:r w:rsidR="00A617B6" w:rsidRPr="00C452D7">
        <w:rPr>
          <w:lang w:val="en-US"/>
        </w:rPr>
        <w:t xml:space="preserve"> al</w:t>
      </w:r>
      <w:r w:rsidR="007C2F0F">
        <w:rPr>
          <w:lang w:val="en-US"/>
        </w:rPr>
        <w:t xml:space="preserve"> (</w:t>
      </w:r>
      <w:proofErr w:type="spellStart"/>
      <w:r w:rsidR="007C2F0F">
        <w:rPr>
          <w:lang w:val="en-US"/>
        </w:rPr>
        <w:t>eds</w:t>
      </w:r>
      <w:proofErr w:type="spellEnd"/>
      <w:r w:rsidR="007C2F0F">
        <w:rPr>
          <w:lang w:val="en-US"/>
        </w:rPr>
        <w:t>)</w:t>
      </w:r>
      <w:r w:rsidR="00A617B6" w:rsidRPr="00C452D7">
        <w:rPr>
          <w:lang w:val="en-US"/>
        </w:rPr>
        <w:t xml:space="preserve"> </w:t>
      </w:r>
      <w:r w:rsidRPr="00C452D7">
        <w:rPr>
          <w:i/>
          <w:lang w:val="en-US"/>
        </w:rPr>
        <w:t>From Listening to Action? New Member States in the European Union</w:t>
      </w:r>
      <w:r w:rsidR="007C2F0F">
        <w:rPr>
          <w:lang w:val="en-US"/>
        </w:rPr>
        <w:t xml:space="preserve">, </w:t>
      </w:r>
      <w:r w:rsidR="00C452D7" w:rsidRPr="00C452D7">
        <w:rPr>
          <w:lang w:val="en-US"/>
        </w:rPr>
        <w:t xml:space="preserve">Bratislava: </w:t>
      </w:r>
      <w:r w:rsidR="00A617B6" w:rsidRPr="00C452D7">
        <w:rPr>
          <w:lang w:val="en-US"/>
        </w:rPr>
        <w:t>C</w:t>
      </w:r>
      <w:r w:rsidR="00C452D7" w:rsidRPr="00C452D7">
        <w:rPr>
          <w:lang w:val="en-US"/>
        </w:rPr>
        <w:t>omenius University).</w:t>
      </w:r>
    </w:p>
    <w:p w:rsidR="00952DB2" w:rsidRDefault="00952DB2" w:rsidP="00C452D7">
      <w:pPr>
        <w:tabs>
          <w:tab w:val="num" w:pos="709"/>
        </w:tabs>
        <w:spacing w:after="120" w:line="276" w:lineRule="auto"/>
        <w:ind w:left="709" w:hanging="709"/>
      </w:pPr>
      <w:r w:rsidRPr="00C452D7">
        <w:lastRenderedPageBreak/>
        <w:t xml:space="preserve">Börzel, T. A. (2002) </w:t>
      </w:r>
      <w:r w:rsidR="007C2F0F">
        <w:t>’</w:t>
      </w:r>
      <w:r w:rsidRPr="00C452D7">
        <w:t>Member State Responses to Europeanization</w:t>
      </w:r>
      <w:r w:rsidR="007C2F0F">
        <w:t xml:space="preserve">’, </w:t>
      </w:r>
      <w:r w:rsidRPr="007C2F0F">
        <w:rPr>
          <w:i/>
        </w:rPr>
        <w:t>JCMS: Journal of Common Market Studies</w:t>
      </w:r>
      <w:r w:rsidR="007C2F0F">
        <w:t xml:space="preserve"> </w:t>
      </w:r>
      <w:r w:rsidRPr="00C452D7">
        <w:t>40 (2): 193–214</w:t>
      </w:r>
      <w:r w:rsidR="0041309C">
        <w:t>.</w:t>
      </w:r>
    </w:p>
    <w:p w:rsidR="00A617B6" w:rsidRPr="00C452D7" w:rsidRDefault="00A617B6" w:rsidP="00C452D7">
      <w:pPr>
        <w:tabs>
          <w:tab w:val="num" w:pos="709"/>
        </w:tabs>
        <w:spacing w:after="120" w:line="276" w:lineRule="auto"/>
        <w:ind w:left="709" w:hanging="709"/>
        <w:rPr>
          <w:lang w:val="en-US"/>
        </w:rPr>
      </w:pPr>
      <w:r w:rsidRPr="00C452D7">
        <w:rPr>
          <w:lang w:val="en-US"/>
        </w:rPr>
        <w:t xml:space="preserve">Carbone, M. (2007) </w:t>
      </w:r>
      <w:proofErr w:type="gramStart"/>
      <w:r w:rsidRPr="00C452D7">
        <w:rPr>
          <w:lang w:val="en-US"/>
        </w:rPr>
        <w:t>The</w:t>
      </w:r>
      <w:proofErr w:type="gramEnd"/>
      <w:r w:rsidRPr="00C452D7">
        <w:rPr>
          <w:lang w:val="en-US"/>
        </w:rPr>
        <w:t xml:space="preserve"> </w:t>
      </w:r>
      <w:r w:rsidRPr="00C452D7">
        <w:rPr>
          <w:i/>
          <w:lang w:val="en-US"/>
        </w:rPr>
        <w:t>European Union and International Development</w:t>
      </w:r>
      <w:r w:rsidR="007C2F0F">
        <w:rPr>
          <w:i/>
          <w:lang w:val="en-US"/>
        </w:rPr>
        <w:t xml:space="preserve">, </w:t>
      </w:r>
      <w:r w:rsidR="007C2F0F">
        <w:rPr>
          <w:lang w:val="en-US"/>
        </w:rPr>
        <w:t>London: Routledge.</w:t>
      </w:r>
    </w:p>
    <w:p w:rsidR="006C13E4" w:rsidRPr="00C452D7" w:rsidRDefault="00035397" w:rsidP="00C452D7">
      <w:pPr>
        <w:tabs>
          <w:tab w:val="num" w:pos="709"/>
        </w:tabs>
        <w:spacing w:after="120" w:line="276" w:lineRule="auto"/>
        <w:ind w:left="709" w:hanging="709"/>
        <w:rPr>
          <w:lang w:val="en-US"/>
        </w:rPr>
      </w:pPr>
      <w:r w:rsidRPr="00C452D7">
        <w:rPr>
          <w:lang w:val="en-US"/>
        </w:rPr>
        <w:t xml:space="preserve">Copeland, P. </w:t>
      </w:r>
      <w:r w:rsidR="006C13E4" w:rsidRPr="00C452D7">
        <w:rPr>
          <w:lang w:val="en-US"/>
        </w:rPr>
        <w:t xml:space="preserve">(2014) </w:t>
      </w:r>
      <w:r w:rsidRPr="00C452D7">
        <w:rPr>
          <w:lang w:val="en-US"/>
        </w:rPr>
        <w:t>‘</w:t>
      </w:r>
      <w:r w:rsidR="006C13E4" w:rsidRPr="00C452D7">
        <w:rPr>
          <w:lang w:val="en-US"/>
        </w:rPr>
        <w:t>Central and Eastern Europe: Negotiating Influence in an Enlarged European Union</w:t>
      </w:r>
      <w:r w:rsidRPr="00C452D7">
        <w:rPr>
          <w:lang w:val="en-US"/>
        </w:rPr>
        <w:t>’</w:t>
      </w:r>
      <w:r w:rsidR="006C13E4" w:rsidRPr="00C452D7">
        <w:rPr>
          <w:lang w:val="en-US"/>
        </w:rPr>
        <w:t xml:space="preserve">, </w:t>
      </w:r>
      <w:r w:rsidR="006C13E4" w:rsidRPr="00C452D7">
        <w:rPr>
          <w:i/>
          <w:lang w:val="en-US"/>
        </w:rPr>
        <w:t>Europe-Asia Studies</w:t>
      </w:r>
      <w:r w:rsidR="006C13E4" w:rsidRPr="00C452D7">
        <w:rPr>
          <w:lang w:val="en-US"/>
        </w:rPr>
        <w:t xml:space="preserve"> 66</w:t>
      </w:r>
      <w:r w:rsidR="007C2F0F">
        <w:rPr>
          <w:lang w:val="en-US"/>
        </w:rPr>
        <w:t>(</w:t>
      </w:r>
      <w:r w:rsidR="006C13E4" w:rsidRPr="00C452D7">
        <w:rPr>
          <w:lang w:val="en-US"/>
        </w:rPr>
        <w:t>3</w:t>
      </w:r>
      <w:r w:rsidR="007C2F0F">
        <w:rPr>
          <w:lang w:val="en-US"/>
        </w:rPr>
        <w:t>):</w:t>
      </w:r>
      <w:r w:rsidR="006C13E4" w:rsidRPr="00C452D7">
        <w:rPr>
          <w:lang w:val="en-US"/>
        </w:rPr>
        <w:t xml:space="preserve"> 467-487</w:t>
      </w:r>
      <w:r w:rsidR="007C2F0F">
        <w:rPr>
          <w:lang w:val="en-US"/>
        </w:rPr>
        <w:t>.</w:t>
      </w:r>
    </w:p>
    <w:p w:rsidR="00CE60B9" w:rsidRDefault="00CE60B9" w:rsidP="00C452D7">
      <w:pPr>
        <w:tabs>
          <w:tab w:val="num" w:pos="709"/>
        </w:tabs>
        <w:spacing w:after="120" w:line="276" w:lineRule="auto"/>
        <w:ind w:left="709" w:hanging="709"/>
        <w:rPr>
          <w:lang w:val="en-US"/>
        </w:rPr>
      </w:pPr>
      <w:proofErr w:type="spellStart"/>
      <w:r w:rsidRPr="00CE60B9">
        <w:rPr>
          <w:lang w:val="en-US"/>
        </w:rPr>
        <w:t>Copsey</w:t>
      </w:r>
      <w:proofErr w:type="spellEnd"/>
      <w:r w:rsidRPr="00CE60B9">
        <w:rPr>
          <w:lang w:val="en-US"/>
        </w:rPr>
        <w:t xml:space="preserve">, N. and </w:t>
      </w:r>
      <w:proofErr w:type="spellStart"/>
      <w:r w:rsidRPr="00CE60B9">
        <w:rPr>
          <w:lang w:val="en-US"/>
        </w:rPr>
        <w:t>Pomorska</w:t>
      </w:r>
      <w:proofErr w:type="spellEnd"/>
      <w:r w:rsidRPr="00CE60B9">
        <w:rPr>
          <w:lang w:val="en-US"/>
        </w:rPr>
        <w:t>, P. (2010) ‘Poland’s Power and Influence in the European Union: t</w:t>
      </w:r>
      <w:r>
        <w:rPr>
          <w:lang w:val="en-US"/>
        </w:rPr>
        <w:t xml:space="preserve">he Case of its Eastern Policy’, </w:t>
      </w:r>
      <w:r w:rsidRPr="00CE60B9">
        <w:rPr>
          <w:i/>
          <w:lang w:val="en-US"/>
        </w:rPr>
        <w:t>Comparative European Politics</w:t>
      </w:r>
      <w:r w:rsidRPr="00CE60B9">
        <w:rPr>
          <w:lang w:val="en-US"/>
        </w:rPr>
        <w:t xml:space="preserve"> 8</w:t>
      </w:r>
      <w:r>
        <w:rPr>
          <w:lang w:val="en-US"/>
        </w:rPr>
        <w:t>(</w:t>
      </w:r>
      <w:r w:rsidRPr="00CE60B9">
        <w:rPr>
          <w:lang w:val="en-US"/>
        </w:rPr>
        <w:t>3</w:t>
      </w:r>
      <w:r>
        <w:rPr>
          <w:lang w:val="en-US"/>
        </w:rPr>
        <w:t>)</w:t>
      </w:r>
      <w:r w:rsidRPr="00CE60B9">
        <w:rPr>
          <w:lang w:val="en-US"/>
        </w:rPr>
        <w:t>.</w:t>
      </w:r>
    </w:p>
    <w:p w:rsidR="008E64D2" w:rsidRPr="00C452D7" w:rsidRDefault="008E64D2" w:rsidP="00C452D7">
      <w:pPr>
        <w:tabs>
          <w:tab w:val="num" w:pos="709"/>
        </w:tabs>
        <w:spacing w:after="120" w:line="276" w:lineRule="auto"/>
        <w:ind w:left="709" w:hanging="709"/>
        <w:rPr>
          <w:lang w:val="en-US"/>
        </w:rPr>
      </w:pPr>
      <w:r w:rsidRPr="00C452D7">
        <w:rPr>
          <w:lang w:val="en-US"/>
        </w:rPr>
        <w:t xml:space="preserve">CRPE (2013) </w:t>
      </w:r>
      <w:proofErr w:type="gramStart"/>
      <w:r w:rsidRPr="00C452D7">
        <w:rPr>
          <w:i/>
          <w:lang w:val="en-US"/>
        </w:rPr>
        <w:t>New</w:t>
      </w:r>
      <w:proofErr w:type="gramEnd"/>
      <w:r w:rsidRPr="00C452D7">
        <w:rPr>
          <w:i/>
          <w:lang w:val="en-US"/>
        </w:rPr>
        <w:t xml:space="preserve"> donors on the CEE block</w:t>
      </w:r>
      <w:r w:rsidRPr="00C452D7">
        <w:rPr>
          <w:lang w:val="en-US"/>
        </w:rPr>
        <w:t>. CRPE Policy Memo 48. Black Sea Trust.</w:t>
      </w:r>
    </w:p>
    <w:p w:rsidR="00551A6A" w:rsidRDefault="00551A6A" w:rsidP="00C452D7">
      <w:pPr>
        <w:tabs>
          <w:tab w:val="num" w:pos="709"/>
        </w:tabs>
        <w:spacing w:after="120" w:line="276" w:lineRule="auto"/>
        <w:ind w:left="709" w:hanging="709"/>
      </w:pPr>
      <w:r w:rsidRPr="00C452D7">
        <w:rPr>
          <w:lang w:val="en-GB"/>
        </w:rPr>
        <w:t xml:space="preserve">Czech Ministry of Foreign Affairs </w:t>
      </w:r>
      <w:r w:rsidR="00C452D7" w:rsidRPr="00C452D7">
        <w:rPr>
          <w:lang w:val="en-GB"/>
        </w:rPr>
        <w:t>(</w:t>
      </w:r>
      <w:r w:rsidRPr="00C452D7">
        <w:rPr>
          <w:lang w:val="en-GB"/>
        </w:rPr>
        <w:t>2010</w:t>
      </w:r>
      <w:r w:rsidR="00C452D7" w:rsidRPr="00C452D7">
        <w:rPr>
          <w:lang w:val="en-GB"/>
        </w:rPr>
        <w:t>)</w:t>
      </w:r>
      <w:r w:rsidRPr="00C452D7">
        <w:rPr>
          <w:lang w:val="en-GB"/>
        </w:rPr>
        <w:t xml:space="preserve"> </w:t>
      </w:r>
      <w:r w:rsidR="00C452D7" w:rsidRPr="007C2F0F">
        <w:rPr>
          <w:i/>
          <w:lang w:val="en-GB"/>
        </w:rPr>
        <w:t xml:space="preserve">The Development Cooperation Strategy </w:t>
      </w:r>
      <w:proofErr w:type="gramStart"/>
      <w:r w:rsidR="00C452D7" w:rsidRPr="007C2F0F">
        <w:rPr>
          <w:i/>
          <w:lang w:val="en-GB"/>
        </w:rPr>
        <w:t>Of The</w:t>
      </w:r>
      <w:proofErr w:type="gramEnd"/>
      <w:r w:rsidR="00C452D7" w:rsidRPr="007C2F0F">
        <w:rPr>
          <w:i/>
          <w:lang w:val="en-GB"/>
        </w:rPr>
        <w:t xml:space="preserve"> Czech Republic</w:t>
      </w:r>
      <w:r w:rsidRPr="007C2F0F">
        <w:rPr>
          <w:i/>
          <w:lang w:val="en-GB"/>
        </w:rPr>
        <w:t xml:space="preserve"> 2010–2017</w:t>
      </w:r>
      <w:r w:rsidR="00C452D7" w:rsidRPr="00C452D7">
        <w:rPr>
          <w:lang w:val="en-GB"/>
        </w:rPr>
        <w:t>,</w:t>
      </w:r>
      <w:r w:rsidRPr="00C452D7">
        <w:rPr>
          <w:lang w:val="en-GB"/>
        </w:rPr>
        <w:t xml:space="preserve"> </w:t>
      </w:r>
      <w:hyperlink r:id="rId10" w:history="1">
        <w:r w:rsidRPr="00C452D7">
          <w:rPr>
            <w:rStyle w:val="Hyperlink"/>
            <w:lang w:val="en-GB"/>
          </w:rPr>
          <w:t>www.mzv.cz/public/d9/f6/92/545820_444905_Development_Cooperation_Strategy_2010_2017___final.doc</w:t>
        </w:r>
      </w:hyperlink>
      <w:r w:rsidR="00C452D7">
        <w:t xml:space="preserve"> (accessed 15 July 2014).</w:t>
      </w:r>
    </w:p>
    <w:p w:rsidR="00C452D7" w:rsidRPr="00C452D7" w:rsidRDefault="00C452D7" w:rsidP="00C452D7">
      <w:pPr>
        <w:tabs>
          <w:tab w:val="num" w:pos="709"/>
        </w:tabs>
        <w:spacing w:after="120" w:line="276" w:lineRule="auto"/>
        <w:ind w:left="709" w:hanging="709"/>
        <w:rPr>
          <w:lang w:val="en-GB"/>
        </w:rPr>
      </w:pPr>
      <w:r w:rsidRPr="00C452D7">
        <w:rPr>
          <w:lang w:val="en-GB"/>
        </w:rPr>
        <w:t xml:space="preserve">Czech Ministry of Foreign Affairs </w:t>
      </w:r>
      <w:r>
        <w:rPr>
          <w:lang w:val="en-GB"/>
        </w:rPr>
        <w:t>(</w:t>
      </w:r>
      <w:r w:rsidRPr="00C452D7">
        <w:rPr>
          <w:lang w:val="en-GB"/>
        </w:rPr>
        <w:t>2013</w:t>
      </w:r>
      <w:r>
        <w:rPr>
          <w:lang w:val="en-GB"/>
        </w:rPr>
        <w:t>)</w:t>
      </w:r>
      <w:r w:rsidRPr="00C452D7">
        <w:rPr>
          <w:lang w:val="en-GB"/>
        </w:rPr>
        <w:t xml:space="preserve"> </w:t>
      </w:r>
      <w:r w:rsidRPr="007C2F0F">
        <w:rPr>
          <w:i/>
          <w:lang w:val="en-GB"/>
        </w:rPr>
        <w:t xml:space="preserve">La République tchèque devient membre du Comité d’aide au développement (CAD) de l’Organisation de coopération </w:t>
      </w:r>
      <w:proofErr w:type="gramStart"/>
      <w:r w:rsidRPr="007C2F0F">
        <w:rPr>
          <w:i/>
          <w:lang w:val="en-GB"/>
        </w:rPr>
        <w:t>et</w:t>
      </w:r>
      <w:proofErr w:type="gramEnd"/>
      <w:r w:rsidRPr="007C2F0F">
        <w:rPr>
          <w:i/>
          <w:lang w:val="en-GB"/>
        </w:rPr>
        <w:t xml:space="preserve"> de développement économiques</w:t>
      </w:r>
      <w:r w:rsidRPr="00C452D7">
        <w:rPr>
          <w:lang w:val="en-GB"/>
        </w:rPr>
        <w:t xml:space="preserve">, </w:t>
      </w:r>
      <w:hyperlink r:id="rId11" w:history="1">
        <w:r w:rsidRPr="00C452D7">
          <w:rPr>
            <w:rStyle w:val="Hyperlink"/>
            <w:lang w:val="en-GB"/>
          </w:rPr>
          <w:t>https://www.mzv.cz/oecd.paris/fr/actualites/la_republique_tch_que_devient_membre_du.html</w:t>
        </w:r>
      </w:hyperlink>
      <w:r>
        <w:rPr>
          <w:lang w:val="en-GB"/>
        </w:rPr>
        <w:t xml:space="preserve"> </w:t>
      </w:r>
      <w:r>
        <w:t>(accessed 15 July 2014).</w:t>
      </w:r>
    </w:p>
    <w:p w:rsidR="00093EDE" w:rsidRPr="00C452D7" w:rsidRDefault="002A0FC2" w:rsidP="00C452D7">
      <w:pPr>
        <w:tabs>
          <w:tab w:val="num" w:pos="709"/>
        </w:tabs>
        <w:spacing w:after="120" w:line="276" w:lineRule="auto"/>
        <w:ind w:left="709" w:hanging="709"/>
        <w:rPr>
          <w:lang w:val="en-GB"/>
        </w:rPr>
      </w:pPr>
      <w:r w:rsidRPr="00C452D7">
        <w:rPr>
          <w:lang w:val="en-GB"/>
        </w:rPr>
        <w:t xml:space="preserve">Dangerﬁeld, M. (2009) ‘The Contribution of the Visegrad Group to the EU’s Eastern Policy: Rhetoric or Reality’, </w:t>
      </w:r>
      <w:r w:rsidRPr="00C452D7">
        <w:rPr>
          <w:i/>
          <w:lang w:val="en-GB"/>
        </w:rPr>
        <w:t>Europe-Asia Studies</w:t>
      </w:r>
      <w:r w:rsidR="00C452D7">
        <w:rPr>
          <w:lang w:val="en-GB"/>
        </w:rPr>
        <w:t xml:space="preserve"> 61</w:t>
      </w:r>
      <w:r w:rsidR="007C2F0F">
        <w:rPr>
          <w:lang w:val="en-GB"/>
        </w:rPr>
        <w:t>(</w:t>
      </w:r>
      <w:r w:rsidR="00C452D7">
        <w:rPr>
          <w:lang w:val="en-GB"/>
        </w:rPr>
        <w:t>10</w:t>
      </w:r>
      <w:r w:rsidR="007C2F0F">
        <w:rPr>
          <w:lang w:val="en-GB"/>
        </w:rPr>
        <w:t>)</w:t>
      </w:r>
      <w:r w:rsidR="00C452D7">
        <w:rPr>
          <w:lang w:val="en-GB"/>
        </w:rPr>
        <w:t xml:space="preserve">: </w:t>
      </w:r>
      <w:r w:rsidR="00C452D7">
        <w:t>1735-1755.</w:t>
      </w:r>
    </w:p>
    <w:p w:rsidR="004B0C50" w:rsidRPr="00C452D7" w:rsidRDefault="004B0C50" w:rsidP="00C452D7">
      <w:pPr>
        <w:tabs>
          <w:tab w:val="num" w:pos="709"/>
        </w:tabs>
        <w:spacing w:after="120" w:line="276" w:lineRule="auto"/>
        <w:ind w:left="709" w:hanging="709"/>
        <w:rPr>
          <w:lang w:val="en-GB"/>
        </w:rPr>
      </w:pPr>
      <w:r w:rsidRPr="00C452D7">
        <w:rPr>
          <w:lang w:val="en-GB"/>
        </w:rPr>
        <w:t xml:space="preserve">Dabrowski, M. (2012) </w:t>
      </w:r>
      <w:r w:rsidR="007C2F0F">
        <w:rPr>
          <w:lang w:val="en-GB"/>
        </w:rPr>
        <w:t>‘</w:t>
      </w:r>
      <w:r w:rsidRPr="00C452D7">
        <w:rPr>
          <w:lang w:val="en-GB"/>
        </w:rPr>
        <w:t>What Can Arab Countries Learn From Post-communist Transition?</w:t>
      </w:r>
      <w:r w:rsidR="007C2F0F">
        <w:rPr>
          <w:lang w:val="en-GB"/>
        </w:rPr>
        <w:t>’</w:t>
      </w:r>
      <w:r w:rsidRPr="00C452D7">
        <w:rPr>
          <w:lang w:val="en-GB"/>
        </w:rPr>
        <w:t xml:space="preserve"> </w:t>
      </w:r>
      <w:r w:rsidRPr="00C452D7">
        <w:rPr>
          <w:i/>
          <w:lang w:val="en-GB"/>
        </w:rPr>
        <w:t>CASE Network E briefs</w:t>
      </w:r>
      <w:r w:rsidRPr="00C452D7">
        <w:rPr>
          <w:lang w:val="en-GB"/>
        </w:rPr>
        <w:t xml:space="preserve"> No 9/2012.</w:t>
      </w:r>
    </w:p>
    <w:p w:rsidR="00A617B6" w:rsidRPr="00C452D7" w:rsidRDefault="00C361C8" w:rsidP="00C452D7">
      <w:pPr>
        <w:tabs>
          <w:tab w:val="num" w:pos="709"/>
        </w:tabs>
        <w:spacing w:after="120" w:line="276" w:lineRule="auto"/>
        <w:ind w:left="709" w:hanging="709"/>
        <w:rPr>
          <w:lang w:val="en-GB"/>
        </w:rPr>
      </w:pPr>
      <w:r w:rsidRPr="00C452D7">
        <w:t xml:space="preserve">European Commission (2007): </w:t>
      </w:r>
      <w:r w:rsidRPr="00C452D7">
        <w:rPr>
          <w:i/>
        </w:rPr>
        <w:t>EU Code of Conduct on Division of labour in Development Policy.</w:t>
      </w:r>
      <w:r w:rsidRPr="00C452D7">
        <w:t xml:space="preserve"> COM(2007) 72 final. Brussels: European Commission.</w:t>
      </w:r>
    </w:p>
    <w:p w:rsidR="000E0715" w:rsidRPr="00C452D7" w:rsidRDefault="000E0715" w:rsidP="00C452D7">
      <w:pPr>
        <w:tabs>
          <w:tab w:val="num" w:pos="709"/>
        </w:tabs>
        <w:spacing w:after="120" w:line="276" w:lineRule="auto"/>
        <w:ind w:left="709" w:hanging="709"/>
        <w:rPr>
          <w:lang w:val="en-GB"/>
        </w:rPr>
      </w:pPr>
      <w:r w:rsidRPr="00C452D7">
        <w:rPr>
          <w:lang w:val="en-GB"/>
        </w:rPr>
        <w:t xml:space="preserve">European Commission (2010) </w:t>
      </w:r>
      <w:r w:rsidRPr="00C452D7">
        <w:rPr>
          <w:i/>
          <w:lang w:val="en-GB"/>
        </w:rPr>
        <w:t>European Transition Compendium,</w:t>
      </w:r>
      <w:r w:rsidRPr="00C452D7">
        <w:rPr>
          <w:lang w:val="en-GB"/>
        </w:rPr>
        <w:t xml:space="preserve"> </w:t>
      </w:r>
      <w:hyperlink r:id="rId12" w:history="1">
        <w:r w:rsidRPr="00C452D7">
          <w:rPr>
            <w:rStyle w:val="Hyperlink"/>
            <w:lang w:val="en-GB"/>
          </w:rPr>
          <w:t>http://ec.europa.eu/europeaid/who/partners/eu-12-member-states/index_en.htm</w:t>
        </w:r>
      </w:hyperlink>
      <w:r w:rsidRPr="00C452D7">
        <w:rPr>
          <w:lang w:val="en-GB"/>
        </w:rPr>
        <w:t xml:space="preserve">, online version of the database available at </w:t>
      </w:r>
      <w:hyperlink r:id="rId13" w:history="1">
        <w:r w:rsidRPr="00C452D7">
          <w:rPr>
            <w:rStyle w:val="Hyperlink"/>
            <w:lang w:val="en-GB"/>
          </w:rPr>
          <w:t>http://www.eutransition.eu</w:t>
        </w:r>
      </w:hyperlink>
      <w:r w:rsidRPr="00C452D7">
        <w:rPr>
          <w:lang w:val="en-GB"/>
        </w:rPr>
        <w:t>, accessed 18 January 2012.</w:t>
      </w:r>
    </w:p>
    <w:p w:rsidR="000E0715" w:rsidRPr="00C452D7" w:rsidRDefault="000E0715" w:rsidP="00C452D7">
      <w:pPr>
        <w:tabs>
          <w:tab w:val="num" w:pos="709"/>
        </w:tabs>
        <w:spacing w:after="120" w:line="276" w:lineRule="auto"/>
        <w:ind w:left="709" w:hanging="709"/>
        <w:rPr>
          <w:lang w:val="en-GB"/>
        </w:rPr>
      </w:pPr>
      <w:r w:rsidRPr="00C452D7">
        <w:rPr>
          <w:lang w:val="en-GB"/>
        </w:rPr>
        <w:t xml:space="preserve">European Commission (2012) </w:t>
      </w:r>
      <w:r w:rsidRPr="00C452D7">
        <w:rPr>
          <w:i/>
          <w:lang w:val="en-GB"/>
        </w:rPr>
        <w:t xml:space="preserve">EU Support for Sustainable Change in Transition Societies. </w:t>
      </w:r>
      <w:r w:rsidRPr="00C452D7">
        <w:rPr>
          <w:i/>
        </w:rPr>
        <w:t>JOIN(2012) 27 final</w:t>
      </w:r>
      <w:r w:rsidRPr="00C452D7">
        <w:rPr>
          <w:lang w:val="en-GB"/>
        </w:rPr>
        <w:t xml:space="preserve"> (Brussels, European Commission).</w:t>
      </w:r>
    </w:p>
    <w:p w:rsidR="000E0715" w:rsidRPr="00C452D7" w:rsidRDefault="000E0715" w:rsidP="00C452D7">
      <w:pPr>
        <w:tabs>
          <w:tab w:val="num" w:pos="709"/>
        </w:tabs>
        <w:spacing w:after="120" w:line="276" w:lineRule="auto"/>
        <w:ind w:left="709" w:hanging="709"/>
        <w:rPr>
          <w:lang w:val="en-GB"/>
        </w:rPr>
      </w:pPr>
      <w:r w:rsidRPr="00C452D7">
        <w:rPr>
          <w:lang w:val="en-GB"/>
        </w:rPr>
        <w:t xml:space="preserve">European Consensus (2006) ‘Joint Statement by the Council and the representatives of the Governments of the Member States meeting within the Council, the European Parliament and the Commission on European Union Development Policy: The European Consensus’, </w:t>
      </w:r>
      <w:r w:rsidRPr="00C452D7">
        <w:rPr>
          <w:i/>
          <w:lang w:val="en-GB"/>
        </w:rPr>
        <w:t>Official Journal of the European Union</w:t>
      </w:r>
      <w:r w:rsidRPr="00C452D7">
        <w:rPr>
          <w:lang w:val="en-GB"/>
        </w:rPr>
        <w:t>, C46/2.</w:t>
      </w:r>
    </w:p>
    <w:p w:rsidR="00233D7E" w:rsidRDefault="00233D7E" w:rsidP="00C452D7">
      <w:pPr>
        <w:tabs>
          <w:tab w:val="num" w:pos="709"/>
        </w:tabs>
        <w:spacing w:after="120" w:line="276" w:lineRule="auto"/>
        <w:ind w:left="709" w:hanging="709"/>
        <w:rPr>
          <w:lang w:val="en-GB"/>
        </w:rPr>
      </w:pPr>
      <w:r w:rsidRPr="00C452D7">
        <w:rPr>
          <w:lang w:val="en-GB"/>
        </w:rPr>
        <w:t xml:space="preserve">European Union (2014): Regulation </w:t>
      </w:r>
      <w:r w:rsidR="0041309C" w:rsidRPr="00C452D7">
        <w:rPr>
          <w:lang w:val="en-GB"/>
        </w:rPr>
        <w:t xml:space="preserve">No 232/2014 </w:t>
      </w:r>
      <w:r w:rsidRPr="00C452D7">
        <w:rPr>
          <w:lang w:val="en-GB"/>
        </w:rPr>
        <w:t xml:space="preserve">of the European Parliament and of the Council </w:t>
      </w:r>
      <w:r w:rsidR="0041309C">
        <w:rPr>
          <w:lang w:val="en-GB"/>
        </w:rPr>
        <w:t xml:space="preserve">of </w:t>
      </w:r>
      <w:r w:rsidR="0041309C" w:rsidRPr="00C452D7">
        <w:rPr>
          <w:lang w:val="en-GB"/>
        </w:rPr>
        <w:t xml:space="preserve">11 March 2014 </w:t>
      </w:r>
      <w:r w:rsidRPr="00C452D7">
        <w:rPr>
          <w:lang w:val="en-GB"/>
        </w:rPr>
        <w:t xml:space="preserve">establishing a European Neighbourhood Instrument. </w:t>
      </w:r>
    </w:p>
    <w:p w:rsidR="007C2F0F" w:rsidRPr="00C452D7" w:rsidRDefault="007C2F0F" w:rsidP="007C2F0F">
      <w:pPr>
        <w:tabs>
          <w:tab w:val="num" w:pos="709"/>
        </w:tabs>
        <w:spacing w:after="120" w:line="276" w:lineRule="auto"/>
        <w:ind w:left="709" w:hanging="709"/>
        <w:rPr>
          <w:lang w:val="en-US"/>
        </w:rPr>
      </w:pPr>
      <w:proofErr w:type="spellStart"/>
      <w:r w:rsidRPr="00C452D7">
        <w:rPr>
          <w:lang w:val="en-US"/>
        </w:rPr>
        <w:t>Hork</w:t>
      </w:r>
      <w:proofErr w:type="spellEnd"/>
      <w:r w:rsidRPr="00C452D7">
        <w:rPr>
          <w:iCs/>
          <w:lang w:val="en-GB"/>
        </w:rPr>
        <w:t>ý</w:t>
      </w:r>
      <w:r w:rsidRPr="00C452D7">
        <w:rPr>
          <w:lang w:val="en-US"/>
        </w:rPr>
        <w:t>, O. (2012a) ‘</w:t>
      </w:r>
      <w:proofErr w:type="gramStart"/>
      <w:r w:rsidRPr="00C452D7">
        <w:rPr>
          <w:lang w:val="en-US"/>
        </w:rPr>
        <w:t>The</w:t>
      </w:r>
      <w:proofErr w:type="gramEnd"/>
      <w:r w:rsidRPr="00C452D7">
        <w:rPr>
          <w:lang w:val="en-US"/>
        </w:rPr>
        <w:t xml:space="preserve"> impact of shallow Europeanization of the new member states on the EU’s </w:t>
      </w:r>
      <w:proofErr w:type="spellStart"/>
      <w:r w:rsidRPr="00C452D7">
        <w:rPr>
          <w:lang w:val="en-US"/>
        </w:rPr>
        <w:t>actorness</w:t>
      </w:r>
      <w:proofErr w:type="spellEnd"/>
      <w:r w:rsidRPr="00C452D7">
        <w:rPr>
          <w:lang w:val="en-US"/>
        </w:rPr>
        <w:t xml:space="preserve">: what coherence between foreign and development policy?’ In Grimm, </w:t>
      </w:r>
      <w:r w:rsidRPr="00C452D7">
        <w:rPr>
          <w:lang w:val="en-US"/>
        </w:rPr>
        <w:lastRenderedPageBreak/>
        <w:t xml:space="preserve">S., </w:t>
      </w:r>
      <w:proofErr w:type="spellStart"/>
      <w:r w:rsidRPr="00C452D7">
        <w:rPr>
          <w:lang w:val="en-US"/>
        </w:rPr>
        <w:t>Makhan</w:t>
      </w:r>
      <w:proofErr w:type="spellEnd"/>
      <w:r w:rsidRPr="00C452D7">
        <w:rPr>
          <w:lang w:val="en-US"/>
        </w:rPr>
        <w:t xml:space="preserve">, D. and </w:t>
      </w:r>
      <w:proofErr w:type="spellStart"/>
      <w:r w:rsidRPr="00C452D7">
        <w:rPr>
          <w:lang w:val="en-US"/>
        </w:rPr>
        <w:t>Gänzle</w:t>
      </w:r>
      <w:proofErr w:type="spellEnd"/>
      <w:r w:rsidRPr="00C452D7">
        <w:rPr>
          <w:lang w:val="en-US"/>
        </w:rPr>
        <w:t>, S. (</w:t>
      </w:r>
      <w:proofErr w:type="spellStart"/>
      <w:proofErr w:type="gramStart"/>
      <w:r w:rsidRPr="00C452D7">
        <w:rPr>
          <w:lang w:val="en-US"/>
        </w:rPr>
        <w:t>eds</w:t>
      </w:r>
      <w:proofErr w:type="spellEnd"/>
      <w:proofErr w:type="gramEnd"/>
      <w:r w:rsidRPr="00C452D7">
        <w:rPr>
          <w:lang w:val="en-US"/>
        </w:rPr>
        <w:t xml:space="preserve">) </w:t>
      </w:r>
      <w:r w:rsidRPr="00C452D7">
        <w:rPr>
          <w:i/>
          <w:lang w:val="en-US"/>
        </w:rPr>
        <w:t>The European Union and Global Development – An Enlightened Superpower in the Making?</w:t>
      </w:r>
      <w:r>
        <w:rPr>
          <w:lang w:val="en-US"/>
        </w:rPr>
        <w:t xml:space="preserve"> </w:t>
      </w:r>
      <w:r w:rsidRPr="00C452D7">
        <w:rPr>
          <w:lang w:val="en-US"/>
        </w:rPr>
        <w:t>London: Palgrave</w:t>
      </w:r>
      <w:r>
        <w:rPr>
          <w:lang w:val="en-US"/>
        </w:rPr>
        <w:t xml:space="preserve">: </w:t>
      </w:r>
      <w:r w:rsidRPr="00C452D7">
        <w:rPr>
          <w:lang w:val="en-US"/>
        </w:rPr>
        <w:t>17-36.</w:t>
      </w:r>
    </w:p>
    <w:p w:rsidR="000E0715" w:rsidRPr="00C452D7" w:rsidRDefault="000E0715" w:rsidP="00C452D7">
      <w:pPr>
        <w:tabs>
          <w:tab w:val="num" w:pos="709"/>
        </w:tabs>
        <w:spacing w:after="120" w:line="276" w:lineRule="auto"/>
        <w:ind w:left="709" w:hanging="709"/>
        <w:rPr>
          <w:iCs/>
          <w:lang w:val="en-GB"/>
        </w:rPr>
      </w:pPr>
      <w:r w:rsidRPr="00C452D7">
        <w:rPr>
          <w:iCs/>
          <w:lang w:val="en-GB"/>
        </w:rPr>
        <w:t>Horký, O. (2012</w:t>
      </w:r>
      <w:r w:rsidR="00310F64" w:rsidRPr="00C452D7">
        <w:rPr>
          <w:iCs/>
          <w:lang w:val="en-GB"/>
        </w:rPr>
        <w:t>b</w:t>
      </w:r>
      <w:r w:rsidRPr="00C452D7">
        <w:rPr>
          <w:iCs/>
          <w:lang w:val="en-GB"/>
        </w:rPr>
        <w:t>) ‘The Transfer of the Central and Eastern European ‘Transition Experience’ to the South: Myth or Reality?</w:t>
      </w:r>
      <w:proofErr w:type="gramStart"/>
      <w:r w:rsidRPr="00C452D7">
        <w:rPr>
          <w:iCs/>
          <w:lang w:val="en-GB"/>
        </w:rPr>
        <w:t>’,</w:t>
      </w:r>
      <w:proofErr w:type="gramEnd"/>
      <w:r w:rsidRPr="00C452D7">
        <w:rPr>
          <w:iCs/>
          <w:lang w:val="en-GB"/>
        </w:rPr>
        <w:t xml:space="preserve"> </w:t>
      </w:r>
      <w:r w:rsidRPr="00C452D7">
        <w:rPr>
          <w:i/>
          <w:iCs/>
          <w:lang w:val="en-GB"/>
        </w:rPr>
        <w:t>Perspectives on European Politics and Society</w:t>
      </w:r>
      <w:r w:rsidRPr="00C452D7">
        <w:rPr>
          <w:iCs/>
          <w:lang w:val="en-GB"/>
        </w:rPr>
        <w:t xml:space="preserve"> 13</w:t>
      </w:r>
      <w:r w:rsidR="007C2F0F">
        <w:rPr>
          <w:iCs/>
          <w:lang w:val="en-GB"/>
        </w:rPr>
        <w:t>(</w:t>
      </w:r>
      <w:r w:rsidRPr="00C452D7">
        <w:rPr>
          <w:iCs/>
          <w:lang w:val="en-GB"/>
        </w:rPr>
        <w:t>1</w:t>
      </w:r>
      <w:r w:rsidR="007C2F0F">
        <w:rPr>
          <w:iCs/>
          <w:lang w:val="en-GB"/>
        </w:rPr>
        <w:t>)</w:t>
      </w:r>
      <w:r w:rsidRPr="00C452D7">
        <w:rPr>
          <w:iCs/>
          <w:lang w:val="en-GB"/>
        </w:rPr>
        <w:t>: 17-32.</w:t>
      </w:r>
    </w:p>
    <w:p w:rsidR="00781441" w:rsidRPr="00C452D7" w:rsidRDefault="00B5686C" w:rsidP="00C452D7">
      <w:pPr>
        <w:tabs>
          <w:tab w:val="num" w:pos="709"/>
        </w:tabs>
        <w:spacing w:after="120"/>
        <w:ind w:left="709" w:hanging="709"/>
      </w:pPr>
      <w:hyperlink r:id="rId14" w:tooltip="search for all books by Ondřej Horký-Hlucháň" w:history="1">
        <w:r w:rsidR="00781441" w:rsidRPr="00C452D7">
          <w:t>Horký-Hlucháň</w:t>
        </w:r>
      </w:hyperlink>
      <w:r w:rsidR="00781441" w:rsidRPr="00C452D7">
        <w:t xml:space="preserve">, O. and Lightfoot, S. (eds) (2012) </w:t>
      </w:r>
      <w:r w:rsidR="00781441" w:rsidRPr="00C452D7">
        <w:rPr>
          <w:i/>
        </w:rPr>
        <w:t>Development Policies of Central and Eastern European States. From Aid Recipients to Aid Donors</w:t>
      </w:r>
      <w:r w:rsidR="00781441" w:rsidRPr="00C452D7">
        <w:t>, Oxford: Routledge.</w:t>
      </w:r>
    </w:p>
    <w:p w:rsidR="002A44E4" w:rsidRPr="00C452D7" w:rsidRDefault="002A44E4" w:rsidP="00C452D7">
      <w:pPr>
        <w:tabs>
          <w:tab w:val="num" w:pos="709"/>
        </w:tabs>
        <w:spacing w:after="120" w:line="276" w:lineRule="auto"/>
        <w:ind w:left="709" w:hanging="709"/>
        <w:rPr>
          <w:lang w:val="en-GB"/>
        </w:rPr>
      </w:pPr>
      <w:r w:rsidRPr="00C452D7">
        <w:rPr>
          <w:lang w:val="en-GB"/>
        </w:rPr>
        <w:t xml:space="preserve">Hungarian </w:t>
      </w:r>
      <w:r w:rsidRPr="00C452D7">
        <w:rPr>
          <w:rStyle w:val="longtext1"/>
          <w:bCs/>
          <w:sz w:val="24"/>
          <w:szCs w:val="24"/>
        </w:rPr>
        <w:t xml:space="preserve">Ministry of Foreign Affairs </w:t>
      </w:r>
      <w:r w:rsidRPr="00C452D7">
        <w:rPr>
          <w:lang w:val="en-GB"/>
        </w:rPr>
        <w:t>(2014) Magyarország nemzetközi fejlesztési együttműködésére vonatkozó szakpolitikai stratégiája és nemzetközi humanitárius segítségnyújtására vonatkozó szakpolitikai koncepciója (2014-2020)</w:t>
      </w:r>
      <w:r w:rsidR="00FC0C49" w:rsidRPr="00C452D7">
        <w:rPr>
          <w:lang w:val="en-GB"/>
        </w:rPr>
        <w:t xml:space="preserve"> </w:t>
      </w:r>
      <w:hyperlink r:id="rId15" w:history="1">
        <w:r w:rsidR="00FC0C49" w:rsidRPr="00C452D7">
          <w:rPr>
            <w:rStyle w:val="Hyperlink"/>
            <w:lang w:val="en-GB"/>
          </w:rPr>
          <w:t>http://nefe.kormany.hu/download/5/f0/a0000/El%C5%91terjeszt%C3%A9s_NEFEstrat%20v%C3%A9gleges%20strat%C3%A9gia_561NEFEFO.pdf</w:t>
        </w:r>
      </w:hyperlink>
    </w:p>
    <w:p w:rsidR="00557534" w:rsidRPr="00C452D7" w:rsidRDefault="00557534" w:rsidP="00557534">
      <w:pPr>
        <w:tabs>
          <w:tab w:val="num" w:pos="709"/>
        </w:tabs>
        <w:spacing w:after="120" w:line="276" w:lineRule="auto"/>
        <w:ind w:left="709" w:hanging="709"/>
        <w:rPr>
          <w:iCs/>
          <w:lang w:val="en-GB"/>
        </w:rPr>
      </w:pPr>
      <w:r w:rsidRPr="00C452D7">
        <w:t xml:space="preserve">ICDT (2014) Introduction. </w:t>
      </w:r>
      <w:r w:rsidRPr="00C452D7">
        <w:rPr>
          <w:bCs/>
        </w:rPr>
        <w:t>About the ICDT.</w:t>
      </w:r>
      <w:r w:rsidRPr="00C452D7">
        <w:t xml:space="preserve"> </w:t>
      </w:r>
      <w:hyperlink r:id="rId16" w:history="1">
        <w:r w:rsidRPr="0071531A">
          <w:rPr>
            <w:rStyle w:val="Hyperlink"/>
          </w:rPr>
          <w:t>http://www.icdt.hu/about-us/introduction</w:t>
        </w:r>
      </w:hyperlink>
      <w:r>
        <w:t xml:space="preserve"> (accessed 14 July 2014)</w:t>
      </w:r>
    </w:p>
    <w:p w:rsidR="00557534" w:rsidRDefault="00557534" w:rsidP="00557534">
      <w:pPr>
        <w:tabs>
          <w:tab w:val="num" w:pos="709"/>
        </w:tabs>
        <w:spacing w:after="120" w:line="276" w:lineRule="auto"/>
        <w:ind w:left="709" w:hanging="709"/>
      </w:pPr>
      <w:r>
        <w:t>Lucas, E</w:t>
      </w:r>
      <w:r w:rsidR="00C801C7">
        <w:t xml:space="preserve">. (2014) </w:t>
      </w:r>
      <w:r w:rsidR="007C2F0F">
        <w:t>’</w:t>
      </w:r>
      <w:r w:rsidR="00C801C7" w:rsidRPr="00C801C7">
        <w:t>V4: Grappling with irrelevance?</w:t>
      </w:r>
      <w:r w:rsidR="00C801C7">
        <w:t xml:space="preserve">’, </w:t>
      </w:r>
      <w:r w:rsidR="00C801C7" w:rsidRPr="00C801C7">
        <w:t>Central European Policy Institute</w:t>
      </w:r>
      <w:r w:rsidR="00C801C7">
        <w:t xml:space="preserve"> 30 June 2014.</w:t>
      </w:r>
    </w:p>
    <w:p w:rsidR="00645C03" w:rsidRDefault="003D4310" w:rsidP="00645C03">
      <w:pPr>
        <w:tabs>
          <w:tab w:val="num" w:pos="709"/>
        </w:tabs>
        <w:spacing w:after="120" w:line="276" w:lineRule="auto"/>
        <w:ind w:left="709" w:hanging="709"/>
        <w:rPr>
          <w:lang w:val="en-US"/>
        </w:rPr>
      </w:pPr>
      <w:proofErr w:type="spellStart"/>
      <w:r w:rsidRPr="00C452D7">
        <w:rPr>
          <w:lang w:val="en-US"/>
        </w:rPr>
        <w:t>Kaminska</w:t>
      </w:r>
      <w:proofErr w:type="spellEnd"/>
      <w:r w:rsidRPr="00C452D7">
        <w:rPr>
          <w:lang w:val="en-US"/>
        </w:rPr>
        <w:t xml:space="preserve">, J. (2013) </w:t>
      </w:r>
      <w:r w:rsidR="007C2F0F">
        <w:rPr>
          <w:lang w:val="en-US"/>
        </w:rPr>
        <w:t>‘</w:t>
      </w:r>
      <w:r w:rsidR="00645C03">
        <w:t>Poland: the new agenda setter</w:t>
      </w:r>
      <w:r w:rsidR="007C2F0F">
        <w:t>’</w:t>
      </w:r>
      <w:r w:rsidR="00645C03" w:rsidRPr="00C452D7">
        <w:rPr>
          <w:lang w:val="en-US"/>
        </w:rPr>
        <w:t xml:space="preserve"> </w:t>
      </w:r>
      <w:r w:rsidRPr="00C452D7">
        <w:rPr>
          <w:lang w:val="en-US"/>
        </w:rPr>
        <w:t xml:space="preserve">in </w:t>
      </w:r>
      <w:proofErr w:type="spellStart"/>
      <w:r w:rsidR="00645C03">
        <w:rPr>
          <w:lang w:val="en-US"/>
        </w:rPr>
        <w:t>Baun</w:t>
      </w:r>
      <w:proofErr w:type="spellEnd"/>
      <w:r w:rsidR="00645C03">
        <w:rPr>
          <w:lang w:val="en-US"/>
        </w:rPr>
        <w:t>, M. and Marek, D. (</w:t>
      </w:r>
      <w:proofErr w:type="gramStart"/>
      <w:r w:rsidR="00645C03">
        <w:rPr>
          <w:lang w:val="en-US"/>
        </w:rPr>
        <w:t>eds</w:t>
      </w:r>
      <w:proofErr w:type="gramEnd"/>
      <w:r w:rsidR="00645C03">
        <w:rPr>
          <w:lang w:val="en-US"/>
        </w:rPr>
        <w:t>)</w:t>
      </w:r>
      <w:r w:rsidR="00645C03" w:rsidRPr="00C452D7">
        <w:rPr>
          <w:lang w:val="en-US"/>
        </w:rPr>
        <w:t xml:space="preserve"> </w:t>
      </w:r>
      <w:r w:rsidR="00645C03" w:rsidRPr="00C452D7">
        <w:rPr>
          <w:i/>
          <w:lang w:val="en-US"/>
        </w:rPr>
        <w:t>The New Member States and the European Union: Foreign Policy and Europeanization</w:t>
      </w:r>
      <w:r w:rsidR="00645C03" w:rsidRPr="00C452D7">
        <w:rPr>
          <w:lang w:val="en-US"/>
        </w:rPr>
        <w:t xml:space="preserve"> Abingdon: Routledge.</w:t>
      </w:r>
    </w:p>
    <w:p w:rsidR="009761BC" w:rsidRPr="00C452D7" w:rsidRDefault="009761BC" w:rsidP="00645C03">
      <w:pPr>
        <w:tabs>
          <w:tab w:val="num" w:pos="709"/>
        </w:tabs>
        <w:spacing w:after="120" w:line="276" w:lineRule="auto"/>
        <w:ind w:left="709" w:hanging="709"/>
        <w:rPr>
          <w:lang w:val="en-US"/>
        </w:rPr>
      </w:pPr>
      <w:r>
        <w:rPr>
          <w:lang w:val="en-US"/>
        </w:rPr>
        <w:t xml:space="preserve">Konrad, M (forthcoming) </w:t>
      </w:r>
      <w:r w:rsidRPr="009761BC">
        <w:rPr>
          <w:lang w:val="en-US"/>
        </w:rPr>
        <w:t>Transition Experience Transfer: A Substantial Contribution of New Member States to EU Development Policy?</w:t>
      </w:r>
      <w:r>
        <w:rPr>
          <w:lang w:val="en-US"/>
        </w:rPr>
        <w:t xml:space="preserve"> Citation </w:t>
      </w:r>
      <w:r w:rsidR="007C2F0F">
        <w:rPr>
          <w:lang w:val="en-US"/>
        </w:rPr>
        <w:t xml:space="preserve">removed for anonymity. </w:t>
      </w:r>
    </w:p>
    <w:p w:rsidR="00BC4335" w:rsidRPr="00C452D7" w:rsidRDefault="00BC4335" w:rsidP="00C452D7">
      <w:pPr>
        <w:tabs>
          <w:tab w:val="num" w:pos="709"/>
        </w:tabs>
        <w:spacing w:after="120" w:line="276" w:lineRule="auto"/>
        <w:ind w:left="709" w:hanging="709"/>
        <w:rPr>
          <w:lang w:val="en-GB"/>
        </w:rPr>
      </w:pPr>
      <w:proofErr w:type="gramStart"/>
      <w:r w:rsidRPr="00C452D7">
        <w:rPr>
          <w:lang w:val="en-GB"/>
        </w:rPr>
        <w:t xml:space="preserve">Lightfoot, S and Szent-Iványi, </w:t>
      </w:r>
      <w:r w:rsidR="007C2F0F">
        <w:rPr>
          <w:lang w:val="en-GB"/>
        </w:rPr>
        <w:t>B (2014)</w:t>
      </w:r>
      <w:r w:rsidRPr="00C452D7">
        <w:rPr>
          <w:lang w:val="en-GB"/>
        </w:rPr>
        <w:t xml:space="preserve"> </w:t>
      </w:r>
      <w:r w:rsidR="007C2F0F">
        <w:rPr>
          <w:lang w:val="en-GB"/>
        </w:rPr>
        <w:t>‘</w:t>
      </w:r>
      <w:r w:rsidRPr="00C452D7">
        <w:rPr>
          <w:lang w:val="en-GB"/>
        </w:rPr>
        <w:t>Reluctant Donors?</w:t>
      </w:r>
      <w:proofErr w:type="gramEnd"/>
      <w:r w:rsidRPr="00C452D7">
        <w:rPr>
          <w:lang w:val="en-GB"/>
        </w:rPr>
        <w:t xml:space="preserve"> The Europeanization of International Development Policies in the New Members</w:t>
      </w:r>
      <w:r w:rsidR="007C2F0F">
        <w:rPr>
          <w:lang w:val="en-GB"/>
        </w:rPr>
        <w:t xml:space="preserve">’, </w:t>
      </w:r>
      <w:r w:rsidRPr="00C452D7">
        <w:rPr>
          <w:i/>
          <w:lang w:val="en-GB"/>
        </w:rPr>
        <w:t>JCMS:</w:t>
      </w:r>
      <w:r w:rsidRPr="00C452D7">
        <w:rPr>
          <w:lang w:val="en-GB"/>
        </w:rPr>
        <w:t xml:space="preserve"> </w:t>
      </w:r>
      <w:r w:rsidRPr="00C452D7">
        <w:rPr>
          <w:i/>
          <w:lang w:val="en-GB"/>
        </w:rPr>
        <w:t xml:space="preserve">Journal of Common Market Studies, </w:t>
      </w:r>
      <w:r w:rsidRPr="00C452D7">
        <w:rPr>
          <w:lang w:val="en-GB"/>
        </w:rPr>
        <w:t>early view article DOI: 10.1111/jcms.12141</w:t>
      </w:r>
    </w:p>
    <w:p w:rsidR="00093EDE" w:rsidRPr="00C452D7" w:rsidRDefault="00093EDE" w:rsidP="00C452D7">
      <w:pPr>
        <w:tabs>
          <w:tab w:val="num" w:pos="709"/>
        </w:tabs>
        <w:spacing w:after="120" w:line="276" w:lineRule="auto"/>
        <w:ind w:left="709" w:hanging="709"/>
        <w:rPr>
          <w:lang w:val="en-US"/>
        </w:rPr>
      </w:pPr>
      <w:r w:rsidRPr="00C452D7">
        <w:rPr>
          <w:lang w:val="en-US"/>
        </w:rPr>
        <w:t>Marton, P. (2012) ‘</w:t>
      </w:r>
      <w:proofErr w:type="gramStart"/>
      <w:r w:rsidRPr="00C452D7">
        <w:rPr>
          <w:lang w:val="en-US"/>
        </w:rPr>
        <w:t>The</w:t>
      </w:r>
      <w:proofErr w:type="gramEnd"/>
      <w:r w:rsidRPr="00C452D7">
        <w:rPr>
          <w:lang w:val="en-US"/>
        </w:rPr>
        <w:t xml:space="preserve"> Sources of Visegrad Conduct: A Comparative Analysis of V4 Foreign Policy Making’, </w:t>
      </w:r>
      <w:r w:rsidRPr="00ED6C36">
        <w:rPr>
          <w:i/>
          <w:lang w:val="en-US"/>
        </w:rPr>
        <w:t>The Polish Quarterly of International Affairs</w:t>
      </w:r>
      <w:r w:rsidRPr="00C452D7">
        <w:rPr>
          <w:lang w:val="en-US"/>
        </w:rPr>
        <w:t xml:space="preserve"> </w:t>
      </w:r>
      <w:r w:rsidR="00645C03">
        <w:rPr>
          <w:lang w:val="en-US"/>
        </w:rPr>
        <w:t>21(</w:t>
      </w:r>
      <w:r w:rsidRPr="00C452D7">
        <w:rPr>
          <w:lang w:val="en-US"/>
        </w:rPr>
        <w:t>4</w:t>
      </w:r>
      <w:r w:rsidR="00645C03">
        <w:rPr>
          <w:lang w:val="en-US"/>
        </w:rPr>
        <w:t>)</w:t>
      </w:r>
      <w:r w:rsidR="007C2F0F">
        <w:rPr>
          <w:lang w:val="en-US"/>
        </w:rPr>
        <w:t xml:space="preserve">. </w:t>
      </w:r>
    </w:p>
    <w:p w:rsidR="00035397" w:rsidRDefault="00035397" w:rsidP="00C452D7">
      <w:pPr>
        <w:tabs>
          <w:tab w:val="num" w:pos="709"/>
        </w:tabs>
        <w:spacing w:after="120" w:line="276" w:lineRule="auto"/>
        <w:ind w:left="709" w:hanging="709"/>
        <w:rPr>
          <w:lang w:val="en-US"/>
        </w:rPr>
      </w:pPr>
      <w:r w:rsidRPr="00C452D7">
        <w:rPr>
          <w:lang w:val="en-US"/>
        </w:rPr>
        <w:t xml:space="preserve">Najšlová, L. (2012) </w:t>
      </w:r>
      <w:r w:rsidR="007C2F0F">
        <w:rPr>
          <w:lang w:val="en-US"/>
        </w:rPr>
        <w:t>‘</w:t>
      </w:r>
      <w:r w:rsidRPr="00C452D7">
        <w:rPr>
          <w:lang w:val="en-US"/>
        </w:rPr>
        <w:t>Slovakia’s Eastern Policy: A Blend of P</w:t>
      </w:r>
      <w:r w:rsidR="00645C03">
        <w:rPr>
          <w:lang w:val="en-US"/>
        </w:rPr>
        <w:t>ragmatism and Solidarity</w:t>
      </w:r>
      <w:r w:rsidR="007C2F0F">
        <w:rPr>
          <w:lang w:val="en-US"/>
        </w:rPr>
        <w:t>’</w:t>
      </w:r>
      <w:r w:rsidR="00645C03">
        <w:rPr>
          <w:lang w:val="en-US"/>
        </w:rPr>
        <w:t xml:space="preserve"> in </w:t>
      </w:r>
      <w:r w:rsidR="007C2F0F">
        <w:rPr>
          <w:lang w:val="en-US"/>
        </w:rPr>
        <w:t xml:space="preserve">E. </w:t>
      </w:r>
      <w:proofErr w:type="spellStart"/>
      <w:r w:rsidR="007C2F0F">
        <w:rPr>
          <w:lang w:val="en-US"/>
        </w:rPr>
        <w:t>T</w:t>
      </w:r>
      <w:r w:rsidR="00645C03">
        <w:rPr>
          <w:lang w:val="en-US"/>
        </w:rPr>
        <w:t>u</w:t>
      </w:r>
      <w:r w:rsidRPr="00C452D7">
        <w:rPr>
          <w:lang w:val="en-US"/>
        </w:rPr>
        <w:t>l</w:t>
      </w:r>
      <w:r w:rsidR="00645C03">
        <w:rPr>
          <w:lang w:val="en-US"/>
        </w:rPr>
        <w:t>m</w:t>
      </w:r>
      <w:r w:rsidRPr="00C452D7">
        <w:rPr>
          <w:lang w:val="en-US"/>
        </w:rPr>
        <w:t>ets</w:t>
      </w:r>
      <w:proofErr w:type="spellEnd"/>
      <w:r w:rsidRPr="00C452D7">
        <w:rPr>
          <w:lang w:val="en-US"/>
        </w:rPr>
        <w:t xml:space="preserve"> (</w:t>
      </w:r>
      <w:proofErr w:type="spellStart"/>
      <w:proofErr w:type="gramStart"/>
      <w:r w:rsidRPr="00C452D7">
        <w:rPr>
          <w:lang w:val="en-US"/>
        </w:rPr>
        <w:t>ed</w:t>
      </w:r>
      <w:proofErr w:type="spellEnd"/>
      <w:proofErr w:type="gramEnd"/>
      <w:r w:rsidRPr="00C452D7">
        <w:rPr>
          <w:lang w:val="en-US"/>
        </w:rPr>
        <w:t xml:space="preserve">) </w:t>
      </w:r>
      <w:r w:rsidRPr="00C452D7">
        <w:rPr>
          <w:i/>
          <w:lang w:val="en-US"/>
        </w:rPr>
        <w:t xml:space="preserve">Identities And Solidarity In Foreign Policy: East Central Europe And The Eastern </w:t>
      </w:r>
      <w:proofErr w:type="spellStart"/>
      <w:r w:rsidRPr="00C452D7">
        <w:rPr>
          <w:i/>
          <w:lang w:val="en-US"/>
        </w:rPr>
        <w:t>Neighbourhood</w:t>
      </w:r>
      <w:proofErr w:type="spellEnd"/>
      <w:r w:rsidR="007C2F0F">
        <w:rPr>
          <w:lang w:val="en-US"/>
        </w:rPr>
        <w:t xml:space="preserve"> </w:t>
      </w:r>
      <w:r w:rsidRPr="00C452D7">
        <w:rPr>
          <w:lang w:val="en-US"/>
        </w:rPr>
        <w:t>IIR: Prague.</w:t>
      </w:r>
    </w:p>
    <w:p w:rsidR="00ED64B8" w:rsidRPr="00C452D7" w:rsidRDefault="00ED64B8" w:rsidP="00ED64B8">
      <w:pPr>
        <w:tabs>
          <w:tab w:val="num" w:pos="709"/>
        </w:tabs>
        <w:spacing w:after="120" w:line="276" w:lineRule="auto"/>
        <w:ind w:left="709" w:hanging="709"/>
        <w:rPr>
          <w:lang w:val="en-US"/>
        </w:rPr>
      </w:pPr>
      <w:proofErr w:type="spellStart"/>
      <w:r>
        <w:rPr>
          <w:lang w:val="en-US"/>
        </w:rPr>
        <w:t>Nasra</w:t>
      </w:r>
      <w:proofErr w:type="spellEnd"/>
      <w:r>
        <w:rPr>
          <w:lang w:val="en-US"/>
        </w:rPr>
        <w:t>, S. (2011) ‘</w:t>
      </w:r>
      <w:r w:rsidRPr="00ED64B8">
        <w:rPr>
          <w:lang w:val="en-US"/>
        </w:rPr>
        <w:t>Governance in EU foreign policy: exploring small state influence</w:t>
      </w:r>
      <w:r>
        <w:rPr>
          <w:lang w:val="en-US"/>
        </w:rPr>
        <w:t>’</w:t>
      </w:r>
      <w:r w:rsidR="007C2F0F">
        <w:rPr>
          <w:lang w:val="en-US"/>
        </w:rPr>
        <w:t xml:space="preserve">, </w:t>
      </w:r>
      <w:r w:rsidRPr="007C2F0F">
        <w:rPr>
          <w:i/>
          <w:lang w:val="en-US"/>
        </w:rPr>
        <w:t>Journal of European Public Policy</w:t>
      </w:r>
      <w:r>
        <w:rPr>
          <w:lang w:val="en-US"/>
        </w:rPr>
        <w:t xml:space="preserve">, </w:t>
      </w:r>
      <w:r w:rsidRPr="00ED64B8">
        <w:rPr>
          <w:lang w:val="en-US"/>
        </w:rPr>
        <w:t>18</w:t>
      </w:r>
      <w:r w:rsidR="007C2F0F">
        <w:rPr>
          <w:lang w:val="en-US"/>
        </w:rPr>
        <w:t>(</w:t>
      </w:r>
      <w:r w:rsidRPr="00ED64B8">
        <w:rPr>
          <w:lang w:val="en-US"/>
        </w:rPr>
        <w:t>2</w:t>
      </w:r>
      <w:r w:rsidR="007C2F0F">
        <w:rPr>
          <w:lang w:val="en-US"/>
        </w:rPr>
        <w:t>)</w:t>
      </w:r>
      <w:r>
        <w:rPr>
          <w:lang w:val="en-US"/>
        </w:rPr>
        <w:t xml:space="preserve">: 164-180. </w:t>
      </w:r>
    </w:p>
    <w:p w:rsidR="00D84D2C" w:rsidRPr="00C452D7" w:rsidRDefault="00D84D2C" w:rsidP="00C452D7">
      <w:pPr>
        <w:tabs>
          <w:tab w:val="num" w:pos="709"/>
        </w:tabs>
        <w:spacing w:after="120" w:line="276" w:lineRule="auto"/>
        <w:ind w:left="709" w:hanging="709"/>
        <w:rPr>
          <w:lang w:val="en-US"/>
        </w:rPr>
      </w:pPr>
      <w:r w:rsidRPr="00C452D7">
        <w:rPr>
          <w:lang w:val="en-US"/>
        </w:rPr>
        <w:t xml:space="preserve">Němečková, Tereza et al (2012): Vyhodnocení programů ZRS realizovaných </w:t>
      </w:r>
      <w:proofErr w:type="gramStart"/>
      <w:r w:rsidRPr="00C452D7">
        <w:rPr>
          <w:lang w:val="en-US"/>
        </w:rPr>
        <w:t>na</w:t>
      </w:r>
      <w:proofErr w:type="gramEnd"/>
      <w:r w:rsidRPr="00C452D7">
        <w:rPr>
          <w:lang w:val="en-US"/>
        </w:rPr>
        <w:t xml:space="preserve"> základě dočasné výjimky z transformace [evaluation study, in Czech language only]. Available from: </w:t>
      </w:r>
      <w:r w:rsidR="00035397" w:rsidRPr="00C452D7">
        <w:rPr>
          <w:lang w:val="en-US"/>
        </w:rPr>
        <w:t>h</w:t>
      </w:r>
      <w:r w:rsidRPr="00C452D7">
        <w:rPr>
          <w:lang w:val="en-US"/>
        </w:rPr>
        <w:t>ttp://www.mzv.cz/jnp/cz/zahranicni_vztahy/rozvojova_spoluprace/dvoustranna_zrs_cr/evaluace/vyhodnoceni_docasnych_vyjimek_z_1.html</w:t>
      </w:r>
    </w:p>
    <w:p w:rsidR="000E0715" w:rsidRPr="00C452D7" w:rsidRDefault="000E0715" w:rsidP="00C452D7">
      <w:pPr>
        <w:tabs>
          <w:tab w:val="num" w:pos="709"/>
        </w:tabs>
        <w:spacing w:after="120" w:line="276" w:lineRule="auto"/>
        <w:ind w:left="709" w:hanging="709"/>
        <w:rPr>
          <w:lang w:val="en-GB"/>
        </w:rPr>
      </w:pPr>
      <w:r w:rsidRPr="00C452D7">
        <w:rPr>
          <w:lang w:val="en-GB"/>
        </w:rPr>
        <w:t xml:space="preserve">Non-paper (2011) </w:t>
      </w:r>
      <w:r w:rsidRPr="00C452D7">
        <w:rPr>
          <w:i/>
          <w:lang w:val="en-GB"/>
        </w:rPr>
        <w:t>Harnessing the transition experience in EU’s external relations: From policy to implementation. Non-paper by the Czech Republic, Estonia, Hungary, Latvia, Lithuania, Romania, Slovak Republic, and Slovenia.</w:t>
      </w:r>
      <w:r w:rsidRPr="00C452D7">
        <w:rPr>
          <w:lang w:val="en-GB"/>
        </w:rPr>
        <w:t xml:space="preserve"> Available at </w:t>
      </w:r>
      <w:hyperlink r:id="rId17" w:history="1">
        <w:r w:rsidRPr="00C452D7">
          <w:rPr>
            <w:rStyle w:val="Hyperlink"/>
            <w:lang w:val="en-GB"/>
          </w:rPr>
          <w:t>http://www.mzv.cz/file/591175/non_paper_on_the_transition_experience.pdf</w:t>
        </w:r>
      </w:hyperlink>
      <w:r w:rsidRPr="00C452D7">
        <w:rPr>
          <w:lang w:val="en-GB"/>
        </w:rPr>
        <w:t>, accessed 2 February 2011.</w:t>
      </w:r>
    </w:p>
    <w:p w:rsidR="002B340E" w:rsidRPr="00C452D7" w:rsidRDefault="002B340E" w:rsidP="00C452D7">
      <w:pPr>
        <w:tabs>
          <w:tab w:val="num" w:pos="709"/>
        </w:tabs>
        <w:spacing w:after="120" w:line="276" w:lineRule="auto"/>
        <w:ind w:left="709" w:hanging="709"/>
        <w:rPr>
          <w:lang w:val="en-GB"/>
        </w:rPr>
      </w:pPr>
      <w:proofErr w:type="gramStart"/>
      <w:r w:rsidRPr="00C452D7">
        <w:rPr>
          <w:lang w:val="en-GB"/>
        </w:rPr>
        <w:t xml:space="preserve">OECD (2012) </w:t>
      </w:r>
      <w:r w:rsidRPr="007C2F0F">
        <w:rPr>
          <w:i/>
          <w:lang w:val="en-GB"/>
        </w:rPr>
        <w:t>Luxembourg.</w:t>
      </w:r>
      <w:proofErr w:type="gramEnd"/>
      <w:r w:rsidRPr="007C2F0F">
        <w:rPr>
          <w:i/>
          <w:lang w:val="en-GB"/>
        </w:rPr>
        <w:t xml:space="preserve"> </w:t>
      </w:r>
      <w:proofErr w:type="gramStart"/>
      <w:r w:rsidRPr="007C2F0F">
        <w:rPr>
          <w:i/>
          <w:lang w:val="en-GB"/>
        </w:rPr>
        <w:t>Development Assistance Committee (DAC) Peer Review 2012</w:t>
      </w:r>
      <w:r w:rsidRPr="00C452D7">
        <w:rPr>
          <w:lang w:val="en-GB"/>
        </w:rPr>
        <w:t>.</w:t>
      </w:r>
      <w:proofErr w:type="gramEnd"/>
      <w:r w:rsidRPr="00C452D7">
        <w:rPr>
          <w:lang w:val="en-GB"/>
        </w:rPr>
        <w:t xml:space="preserve"> Paris: OECD.</w:t>
      </w:r>
    </w:p>
    <w:p w:rsidR="00093EDE" w:rsidRPr="00C452D7" w:rsidRDefault="00093EDE" w:rsidP="00C452D7">
      <w:pPr>
        <w:tabs>
          <w:tab w:val="num" w:pos="709"/>
        </w:tabs>
        <w:spacing w:after="120" w:line="276" w:lineRule="auto"/>
        <w:ind w:left="709" w:hanging="709"/>
        <w:rPr>
          <w:lang w:val="en-GB"/>
        </w:rPr>
      </w:pPr>
      <w:r w:rsidRPr="00C452D7">
        <w:rPr>
          <w:lang w:val="en-GB"/>
        </w:rPr>
        <w:t>Onderco</w:t>
      </w:r>
      <w:r w:rsidR="006A2D9C" w:rsidRPr="00C452D7">
        <w:rPr>
          <w:lang w:val="en-GB"/>
        </w:rPr>
        <w:t xml:space="preserve">, M (2014) </w:t>
      </w:r>
      <w:r w:rsidRPr="00C452D7">
        <w:rPr>
          <w:lang w:val="en-GB"/>
        </w:rPr>
        <w:t>“Tell Me What You Want”: Analyzing the Visegrád Countries’ Votes in the UN General Assembly</w:t>
      </w:r>
      <w:r w:rsidR="00645C03">
        <w:rPr>
          <w:lang w:val="en-GB"/>
        </w:rPr>
        <w:t>,</w:t>
      </w:r>
      <w:r w:rsidRPr="00C452D7">
        <w:rPr>
          <w:lang w:val="en-GB"/>
        </w:rPr>
        <w:t xml:space="preserve"> </w:t>
      </w:r>
      <w:r w:rsidRPr="00645C03">
        <w:rPr>
          <w:i/>
          <w:lang w:val="en-GB"/>
        </w:rPr>
        <w:t>East European Politics &amp; Societies</w:t>
      </w:r>
      <w:r w:rsidR="007C2F0F">
        <w:rPr>
          <w:lang w:val="en-GB"/>
        </w:rPr>
        <w:t xml:space="preserve"> </w:t>
      </w:r>
      <w:r w:rsidRPr="00C452D7">
        <w:rPr>
          <w:lang w:val="en-GB"/>
        </w:rPr>
        <w:t>28: 63-83</w:t>
      </w:r>
    </w:p>
    <w:p w:rsidR="00B076C6" w:rsidRPr="00C452D7" w:rsidRDefault="00FC0C49" w:rsidP="00C452D7">
      <w:pPr>
        <w:tabs>
          <w:tab w:val="num" w:pos="709"/>
        </w:tabs>
        <w:spacing w:after="120" w:line="276" w:lineRule="auto"/>
        <w:ind w:left="709" w:hanging="709"/>
        <w:rPr>
          <w:lang w:val="en-GB"/>
        </w:rPr>
      </w:pPr>
      <w:r w:rsidRPr="00C452D7">
        <w:rPr>
          <w:rStyle w:val="longtext1"/>
          <w:bCs/>
          <w:sz w:val="24"/>
          <w:szCs w:val="24"/>
          <w:lang w:val="en-GB"/>
        </w:rPr>
        <w:t xml:space="preserve">Polish </w:t>
      </w:r>
      <w:r w:rsidRPr="00C452D7">
        <w:rPr>
          <w:rStyle w:val="longtext1"/>
          <w:bCs/>
          <w:sz w:val="24"/>
          <w:szCs w:val="24"/>
        </w:rPr>
        <w:t xml:space="preserve">Ministry of Foreign Affairs (2012) </w:t>
      </w:r>
      <w:r w:rsidRPr="00C452D7">
        <w:rPr>
          <w:lang w:val="en-GB"/>
        </w:rPr>
        <w:t xml:space="preserve">Multiannual Development Cooperation Programme for 2012-2015 </w:t>
      </w:r>
      <w:hyperlink r:id="rId18" w:history="1">
        <w:r w:rsidRPr="00C452D7">
          <w:rPr>
            <w:rStyle w:val="Hyperlink"/>
            <w:lang w:val="en-GB"/>
          </w:rPr>
          <w:t>http://www.polishaid.gov.pl/files/dokumenty_publikacje/PW_EN-po_reas.pdf</w:t>
        </w:r>
      </w:hyperlink>
      <w:r w:rsidR="00645C03">
        <w:t xml:space="preserve"> (accessed 14 July 2014).</w:t>
      </w:r>
    </w:p>
    <w:p w:rsidR="00A617B6" w:rsidRPr="00C452D7" w:rsidRDefault="00A617B6" w:rsidP="00C452D7">
      <w:pPr>
        <w:tabs>
          <w:tab w:val="num" w:pos="709"/>
        </w:tabs>
        <w:spacing w:after="120" w:line="276" w:lineRule="auto"/>
        <w:ind w:left="709" w:hanging="709"/>
        <w:rPr>
          <w:lang w:val="en-GB"/>
        </w:rPr>
      </w:pPr>
      <w:r w:rsidRPr="00C452D7">
        <w:rPr>
          <w:lang w:val="en-GB"/>
        </w:rPr>
        <w:t>Pomorska, K. (2011) ‘Polan</w:t>
      </w:r>
      <w:r w:rsidR="007C2F0F">
        <w:rPr>
          <w:lang w:val="en-GB"/>
        </w:rPr>
        <w:t>d: Learning the Brussels Game’ i</w:t>
      </w:r>
      <w:r w:rsidRPr="00C452D7">
        <w:rPr>
          <w:lang w:val="en-GB"/>
        </w:rPr>
        <w:t>n Wong, R. and Hill, C. (</w:t>
      </w:r>
      <w:proofErr w:type="gramStart"/>
      <w:r w:rsidRPr="00C452D7">
        <w:rPr>
          <w:lang w:val="en-GB"/>
        </w:rPr>
        <w:t>eds</w:t>
      </w:r>
      <w:proofErr w:type="gramEnd"/>
      <w:r w:rsidRPr="00C452D7">
        <w:rPr>
          <w:lang w:val="en-GB"/>
        </w:rPr>
        <w:t>)</w:t>
      </w:r>
      <w:r w:rsidR="00645C03">
        <w:rPr>
          <w:lang w:val="en-GB"/>
        </w:rPr>
        <w:t xml:space="preserve"> </w:t>
      </w:r>
      <w:r w:rsidRPr="007C2F0F">
        <w:rPr>
          <w:i/>
          <w:lang w:val="en-GB"/>
        </w:rPr>
        <w:t>National and European Foreign Policies: Toward Europeanisation</w:t>
      </w:r>
      <w:r w:rsidR="007C2F0F">
        <w:rPr>
          <w:lang w:val="en-GB"/>
        </w:rPr>
        <w:t xml:space="preserve">, </w:t>
      </w:r>
      <w:r w:rsidRPr="00C452D7">
        <w:rPr>
          <w:lang w:val="en-GB"/>
        </w:rPr>
        <w:t>London: Routledge.</w:t>
      </w:r>
    </w:p>
    <w:p w:rsidR="007B75CC" w:rsidRPr="00C452D7" w:rsidRDefault="006C13E4" w:rsidP="00C452D7">
      <w:pPr>
        <w:tabs>
          <w:tab w:val="num" w:pos="709"/>
        </w:tabs>
        <w:spacing w:after="120" w:line="276" w:lineRule="auto"/>
        <w:ind w:left="709" w:hanging="709"/>
        <w:rPr>
          <w:lang w:val="en-GB"/>
        </w:rPr>
      </w:pPr>
      <w:r w:rsidRPr="00C452D7">
        <w:rPr>
          <w:lang w:val="en-GB"/>
        </w:rPr>
        <w:t>Plechanovov</w:t>
      </w:r>
      <w:r w:rsidR="00434F4E" w:rsidRPr="00C452D7">
        <w:rPr>
          <w:lang w:val="en-GB"/>
        </w:rPr>
        <w:t>á</w:t>
      </w:r>
      <w:r w:rsidRPr="00C452D7">
        <w:rPr>
          <w:lang w:val="en-GB"/>
        </w:rPr>
        <w:t>, B. (2011) ‘The EU Council Enlarged: North–South–East or Core–Periphery?</w:t>
      </w:r>
      <w:proofErr w:type="gramStart"/>
      <w:r w:rsidRPr="00C452D7">
        <w:rPr>
          <w:lang w:val="en-GB"/>
        </w:rPr>
        <w:t>’,</w:t>
      </w:r>
      <w:proofErr w:type="gramEnd"/>
      <w:r w:rsidRPr="00C452D7">
        <w:rPr>
          <w:lang w:val="en-GB"/>
        </w:rPr>
        <w:t xml:space="preserve"> </w:t>
      </w:r>
      <w:r w:rsidRPr="00557534">
        <w:rPr>
          <w:i/>
          <w:lang w:val="en-GB"/>
        </w:rPr>
        <w:t>European Union Politics</w:t>
      </w:r>
      <w:r w:rsidRPr="00C452D7">
        <w:rPr>
          <w:lang w:val="en-GB"/>
        </w:rPr>
        <w:t xml:space="preserve"> 12</w:t>
      </w:r>
      <w:r w:rsidR="007C2F0F">
        <w:rPr>
          <w:lang w:val="en-GB"/>
        </w:rPr>
        <w:t>(</w:t>
      </w:r>
      <w:r w:rsidRPr="00C452D7">
        <w:rPr>
          <w:lang w:val="en-GB"/>
        </w:rPr>
        <w:t>1</w:t>
      </w:r>
      <w:r w:rsidR="007C2F0F">
        <w:rPr>
          <w:lang w:val="en-GB"/>
        </w:rPr>
        <w:t xml:space="preserve">): </w:t>
      </w:r>
      <w:r w:rsidR="00645C03">
        <w:rPr>
          <w:rStyle w:val="slug-pages"/>
          <w:i/>
          <w:iCs/>
        </w:rPr>
        <w:t>87-106.</w:t>
      </w:r>
    </w:p>
    <w:p w:rsidR="007C2F0F" w:rsidRDefault="006A2D9C" w:rsidP="00C452D7">
      <w:pPr>
        <w:tabs>
          <w:tab w:val="num" w:pos="709"/>
        </w:tabs>
        <w:spacing w:after="120" w:line="276" w:lineRule="auto"/>
        <w:ind w:left="709" w:hanging="709"/>
        <w:rPr>
          <w:lang w:val="en-GB"/>
        </w:rPr>
      </w:pPr>
      <w:r w:rsidRPr="00C452D7">
        <w:rPr>
          <w:lang w:val="en-GB"/>
        </w:rPr>
        <w:t xml:space="preserve">Rybář, M (2011) </w:t>
      </w:r>
      <w:r w:rsidR="007C2F0F">
        <w:rPr>
          <w:lang w:val="en-GB"/>
        </w:rPr>
        <w:t>‘</w:t>
      </w:r>
      <w:r w:rsidRPr="00C452D7">
        <w:rPr>
          <w:lang w:val="en-GB"/>
        </w:rPr>
        <w:t>National determinants of international preferences in post-communist Europe: The case of Slovakia in the European Union</w:t>
      </w:r>
      <w:r w:rsidR="007C2F0F">
        <w:rPr>
          <w:lang w:val="en-GB"/>
        </w:rPr>
        <w:t>’</w:t>
      </w:r>
      <w:r w:rsidRPr="00C452D7">
        <w:rPr>
          <w:lang w:val="en-GB"/>
        </w:rPr>
        <w:t xml:space="preserve">, </w:t>
      </w:r>
      <w:r w:rsidRPr="00C452D7">
        <w:rPr>
          <w:i/>
          <w:lang w:val="en-GB"/>
        </w:rPr>
        <w:t>Communist and Post-Communist Studies</w:t>
      </w:r>
      <w:r w:rsidRPr="00C452D7">
        <w:rPr>
          <w:lang w:val="en-GB"/>
        </w:rPr>
        <w:t xml:space="preserve"> 44 (3)</w:t>
      </w:r>
      <w:r w:rsidR="007C2F0F">
        <w:rPr>
          <w:lang w:val="en-GB"/>
        </w:rPr>
        <w:t xml:space="preserve">: </w:t>
      </w:r>
      <w:r w:rsidR="00F83938">
        <w:rPr>
          <w:lang w:val="en-GB"/>
        </w:rPr>
        <w:t>161-71.</w:t>
      </w:r>
    </w:p>
    <w:p w:rsidR="007B75CC" w:rsidRPr="00C452D7" w:rsidRDefault="007B75CC" w:rsidP="00C452D7">
      <w:pPr>
        <w:tabs>
          <w:tab w:val="num" w:pos="709"/>
        </w:tabs>
        <w:spacing w:after="120" w:line="276" w:lineRule="auto"/>
        <w:ind w:left="709" w:hanging="709"/>
        <w:rPr>
          <w:lang w:val="en-GB"/>
        </w:rPr>
      </w:pPr>
      <w:r w:rsidRPr="00C452D7">
        <w:rPr>
          <w:lang w:val="en-GB"/>
        </w:rPr>
        <w:t>Sanchez, A. (2010) Assignment Report – Support to the European Commission in the elaboration of the European Transition Compendium (ETC)(HTSPE Project Number 5009079), February 2010.</w:t>
      </w:r>
    </w:p>
    <w:p w:rsidR="00BD3276" w:rsidRPr="00C452D7" w:rsidRDefault="00BD3276" w:rsidP="00C452D7">
      <w:pPr>
        <w:tabs>
          <w:tab w:val="num" w:pos="709"/>
        </w:tabs>
        <w:spacing w:after="120" w:line="276" w:lineRule="auto"/>
        <w:ind w:left="709" w:hanging="709"/>
        <w:rPr>
          <w:lang w:val="en-GB"/>
        </w:rPr>
      </w:pPr>
      <w:r w:rsidRPr="00C452D7">
        <w:t>Schimmelfennig</w:t>
      </w:r>
      <w:r w:rsidR="00645C03">
        <w:t>, F.</w:t>
      </w:r>
      <w:r w:rsidRPr="00C452D7">
        <w:t xml:space="preserve"> and Sedelmeier</w:t>
      </w:r>
      <w:r w:rsidR="00645C03">
        <w:t>, U. (</w:t>
      </w:r>
      <w:r w:rsidRPr="00C452D7">
        <w:t>2005</w:t>
      </w:r>
      <w:r w:rsidR="00645C03">
        <w:t>)</w:t>
      </w:r>
      <w:r w:rsidRPr="00C452D7">
        <w:t xml:space="preserve"> (eds) </w:t>
      </w:r>
      <w:r w:rsidRPr="00C452D7">
        <w:rPr>
          <w:i/>
        </w:rPr>
        <w:t>The Europeanization of Central and Eastern Europe</w:t>
      </w:r>
      <w:r w:rsidRPr="00C452D7">
        <w:t>, Ithaca, NY: Cornell University Press.</w:t>
      </w:r>
    </w:p>
    <w:p w:rsidR="006C13E4" w:rsidRPr="00C452D7" w:rsidRDefault="007B75CC" w:rsidP="00C452D7">
      <w:pPr>
        <w:tabs>
          <w:tab w:val="num" w:pos="709"/>
        </w:tabs>
        <w:spacing w:after="120" w:line="276" w:lineRule="auto"/>
        <w:ind w:left="709" w:hanging="709"/>
        <w:rPr>
          <w:lang w:val="en-GB"/>
        </w:rPr>
      </w:pPr>
      <w:r w:rsidRPr="00C452D7">
        <w:rPr>
          <w:lang w:val="en-GB"/>
        </w:rPr>
        <w:t xml:space="preserve">Schunz, S. (2010). ‘How to Assess the European Union’s Influence in International Affairs: Addressing a Major Conceptual Challenge for EU Foreign Policy Analysis’, </w:t>
      </w:r>
      <w:r w:rsidRPr="00645C03">
        <w:rPr>
          <w:i/>
          <w:lang w:val="en-GB"/>
        </w:rPr>
        <w:t xml:space="preserve">Journal of Contemporary European Research </w:t>
      </w:r>
      <w:r w:rsidRPr="00C452D7">
        <w:rPr>
          <w:lang w:val="en-GB"/>
        </w:rPr>
        <w:t>6</w:t>
      </w:r>
      <w:r w:rsidR="00F83938">
        <w:rPr>
          <w:lang w:val="en-GB"/>
        </w:rPr>
        <w:t>(</w:t>
      </w:r>
      <w:r w:rsidRPr="00C452D7">
        <w:rPr>
          <w:lang w:val="en-GB"/>
        </w:rPr>
        <w:t>1</w:t>
      </w:r>
      <w:r w:rsidR="00F83938">
        <w:rPr>
          <w:lang w:val="en-GB"/>
        </w:rPr>
        <w:t>)</w:t>
      </w:r>
      <w:r w:rsidR="0041309C">
        <w:rPr>
          <w:lang w:val="en-GB"/>
        </w:rPr>
        <w:t>:</w:t>
      </w:r>
      <w:r w:rsidRPr="00C452D7">
        <w:rPr>
          <w:lang w:val="en-GB"/>
        </w:rPr>
        <w:t xml:space="preserve"> 22-42</w:t>
      </w:r>
      <w:r w:rsidR="0041309C">
        <w:rPr>
          <w:lang w:val="en-GB"/>
        </w:rPr>
        <w:t>.</w:t>
      </w:r>
    </w:p>
    <w:p w:rsidR="002A44E4" w:rsidRPr="00F83938" w:rsidRDefault="002A44E4" w:rsidP="00C452D7">
      <w:pPr>
        <w:tabs>
          <w:tab w:val="num" w:pos="709"/>
        </w:tabs>
        <w:spacing w:after="120" w:line="276" w:lineRule="auto"/>
        <w:ind w:left="709" w:hanging="709"/>
        <w:rPr>
          <w:lang w:val="en-GB"/>
        </w:rPr>
      </w:pPr>
      <w:r w:rsidRPr="00C452D7">
        <w:rPr>
          <w:rStyle w:val="longtext1"/>
          <w:bCs/>
          <w:sz w:val="24"/>
          <w:szCs w:val="24"/>
          <w:lang w:val="en-GB"/>
        </w:rPr>
        <w:t xml:space="preserve">Slovak Ministry of Foreign Affairs </w:t>
      </w:r>
      <w:r w:rsidR="0041309C">
        <w:rPr>
          <w:rStyle w:val="longtext1"/>
          <w:bCs/>
          <w:sz w:val="24"/>
          <w:szCs w:val="24"/>
          <w:lang w:val="en-GB"/>
        </w:rPr>
        <w:t>(</w:t>
      </w:r>
      <w:r w:rsidRPr="00C452D7">
        <w:rPr>
          <w:rStyle w:val="longtext1"/>
          <w:bCs/>
          <w:sz w:val="24"/>
          <w:szCs w:val="24"/>
          <w:lang w:val="en-GB"/>
        </w:rPr>
        <w:t>2003</w:t>
      </w:r>
      <w:r w:rsidR="0041309C">
        <w:rPr>
          <w:rStyle w:val="longtext1"/>
          <w:bCs/>
          <w:sz w:val="24"/>
          <w:szCs w:val="24"/>
          <w:lang w:val="en-GB"/>
        </w:rPr>
        <w:t>)</w:t>
      </w:r>
      <w:r w:rsidRPr="00C452D7">
        <w:rPr>
          <w:rStyle w:val="longtext1"/>
          <w:bCs/>
          <w:sz w:val="24"/>
          <w:szCs w:val="24"/>
          <w:lang w:val="en-GB"/>
        </w:rPr>
        <w:t xml:space="preserve"> </w:t>
      </w:r>
      <w:r w:rsidRPr="00F83938">
        <w:rPr>
          <w:i/>
          <w:lang w:val="en-GB"/>
        </w:rPr>
        <w:t>National Programme of Official Development Assistance for 2003</w:t>
      </w:r>
      <w:r w:rsidR="00F83938">
        <w:rPr>
          <w:lang w:val="en-GB"/>
        </w:rPr>
        <w:t>, Bratislava: MFA</w:t>
      </w:r>
    </w:p>
    <w:p w:rsidR="00BC4335" w:rsidRPr="00C452D7" w:rsidRDefault="007B0A53" w:rsidP="00C452D7">
      <w:pPr>
        <w:tabs>
          <w:tab w:val="num" w:pos="709"/>
        </w:tabs>
        <w:spacing w:after="120" w:line="276" w:lineRule="auto"/>
        <w:ind w:left="709" w:hanging="709"/>
        <w:rPr>
          <w:lang w:val="en-GB"/>
        </w:rPr>
      </w:pPr>
      <w:r w:rsidRPr="00C452D7">
        <w:rPr>
          <w:lang w:val="en-GB"/>
        </w:rPr>
        <w:t xml:space="preserve">Soós, A. K. (2011) </w:t>
      </w:r>
      <w:r w:rsidRPr="00C452D7">
        <w:rPr>
          <w:i/>
          <w:lang w:val="en-GB"/>
        </w:rPr>
        <w:t xml:space="preserve">Politics and Policies in post-Communist Transition. </w:t>
      </w:r>
      <w:proofErr w:type="gramStart"/>
      <w:r w:rsidRPr="00C452D7">
        <w:rPr>
          <w:i/>
          <w:lang w:val="en-GB"/>
        </w:rPr>
        <w:t>Primary and Secondary Privatisation in Central Europe and the former Soviet Union</w:t>
      </w:r>
      <w:r w:rsidR="00F83938">
        <w:rPr>
          <w:lang w:val="en-GB"/>
        </w:rPr>
        <w:t xml:space="preserve">, </w:t>
      </w:r>
      <w:r w:rsidRPr="00C452D7">
        <w:rPr>
          <w:lang w:val="en-GB"/>
        </w:rPr>
        <w:t>Budapest, Central European University Press.</w:t>
      </w:r>
      <w:proofErr w:type="gramEnd"/>
    </w:p>
    <w:p w:rsidR="00BC4335" w:rsidRPr="00C452D7" w:rsidRDefault="00BC4335" w:rsidP="00C452D7">
      <w:pPr>
        <w:tabs>
          <w:tab w:val="num" w:pos="709"/>
        </w:tabs>
        <w:spacing w:after="120" w:line="276" w:lineRule="auto"/>
        <w:ind w:left="709" w:hanging="709"/>
        <w:rPr>
          <w:lang w:val="en-GB"/>
        </w:rPr>
      </w:pPr>
      <w:r w:rsidRPr="00C452D7">
        <w:rPr>
          <w:lang w:val="en-GB"/>
        </w:rPr>
        <w:t>Szent-Iványi, B</w:t>
      </w:r>
      <w:r w:rsidR="0041309C">
        <w:rPr>
          <w:lang w:val="en-GB"/>
        </w:rPr>
        <w:t>.</w:t>
      </w:r>
      <w:r w:rsidRPr="00C452D7">
        <w:rPr>
          <w:lang w:val="en-GB"/>
        </w:rPr>
        <w:t xml:space="preserve"> (2014) </w:t>
      </w:r>
      <w:r w:rsidR="00F83938">
        <w:rPr>
          <w:lang w:val="en-GB"/>
        </w:rPr>
        <w:t>‘</w:t>
      </w:r>
      <w:r w:rsidRPr="00C452D7">
        <w:rPr>
          <w:lang w:val="en-GB"/>
        </w:rPr>
        <w:t>The EU’s support for democratic governance in the Eastern Neighbourhood: The role of New Member State transition experience</w:t>
      </w:r>
      <w:r w:rsidR="00F83938">
        <w:rPr>
          <w:lang w:val="en-GB"/>
        </w:rPr>
        <w:t>’</w:t>
      </w:r>
      <w:r w:rsidRPr="00C452D7">
        <w:rPr>
          <w:lang w:val="en-GB"/>
        </w:rPr>
        <w:t xml:space="preserve">. </w:t>
      </w:r>
      <w:r w:rsidRPr="00C452D7">
        <w:rPr>
          <w:i/>
          <w:lang w:val="en-GB"/>
        </w:rPr>
        <w:t>Europe-Asia Studies</w:t>
      </w:r>
      <w:r w:rsidRPr="00C452D7">
        <w:rPr>
          <w:lang w:val="en-GB"/>
        </w:rPr>
        <w:t xml:space="preserve"> 66</w:t>
      </w:r>
      <w:r w:rsidR="00F83938">
        <w:rPr>
          <w:lang w:val="en-GB"/>
        </w:rPr>
        <w:t xml:space="preserve"> (7):</w:t>
      </w:r>
    </w:p>
    <w:p w:rsidR="007B0A53" w:rsidRPr="00C452D7" w:rsidRDefault="006C13E4" w:rsidP="00C452D7">
      <w:pPr>
        <w:tabs>
          <w:tab w:val="num" w:pos="709"/>
        </w:tabs>
        <w:spacing w:after="120" w:line="276" w:lineRule="auto"/>
        <w:ind w:left="709" w:hanging="709"/>
        <w:rPr>
          <w:lang w:val="en-GB"/>
        </w:rPr>
      </w:pPr>
      <w:r w:rsidRPr="00C452D7">
        <w:rPr>
          <w:lang w:val="en-GB"/>
        </w:rPr>
        <w:t xml:space="preserve">Thomson, R. (2009) ‘Actor Alignments in the European Union Before and </w:t>
      </w:r>
      <w:proofErr w:type="gramStart"/>
      <w:r w:rsidRPr="00C452D7">
        <w:rPr>
          <w:lang w:val="en-GB"/>
        </w:rPr>
        <w:t>After</w:t>
      </w:r>
      <w:proofErr w:type="gramEnd"/>
      <w:r w:rsidRPr="00C452D7">
        <w:rPr>
          <w:lang w:val="en-GB"/>
        </w:rPr>
        <w:t xml:space="preserve"> </w:t>
      </w:r>
      <w:r w:rsidR="006A2D9C" w:rsidRPr="00C452D7">
        <w:rPr>
          <w:lang w:val="en-GB"/>
        </w:rPr>
        <w:t>e</w:t>
      </w:r>
      <w:r w:rsidRPr="00C452D7">
        <w:rPr>
          <w:lang w:val="en-GB"/>
        </w:rPr>
        <w:t xml:space="preserve">nlargement’, </w:t>
      </w:r>
      <w:r w:rsidRPr="0041309C">
        <w:rPr>
          <w:i/>
          <w:lang w:val="en-GB"/>
        </w:rPr>
        <w:t>European Journal of Political Research</w:t>
      </w:r>
      <w:r w:rsidRPr="00C452D7">
        <w:rPr>
          <w:lang w:val="en-GB"/>
        </w:rPr>
        <w:t xml:space="preserve"> 48</w:t>
      </w:r>
      <w:r w:rsidR="00F83938">
        <w:rPr>
          <w:lang w:val="en-GB"/>
        </w:rPr>
        <w:t>(</w:t>
      </w:r>
      <w:r w:rsidRPr="00C452D7">
        <w:rPr>
          <w:lang w:val="en-GB"/>
        </w:rPr>
        <w:t>6</w:t>
      </w:r>
      <w:r w:rsidR="00F83938">
        <w:rPr>
          <w:lang w:val="en-GB"/>
        </w:rPr>
        <w:t xml:space="preserve">): </w:t>
      </w:r>
      <w:r w:rsidR="0041309C">
        <w:rPr>
          <w:lang w:val="en-GB"/>
        </w:rPr>
        <w:t>756-781.</w:t>
      </w:r>
    </w:p>
    <w:p w:rsidR="003D4310" w:rsidRPr="00C452D7" w:rsidRDefault="003D4310" w:rsidP="00C452D7">
      <w:pPr>
        <w:tabs>
          <w:tab w:val="num" w:pos="709"/>
        </w:tabs>
        <w:spacing w:after="120" w:line="276" w:lineRule="auto"/>
        <w:ind w:left="709" w:hanging="709"/>
        <w:rPr>
          <w:lang w:val="en-GB"/>
        </w:rPr>
      </w:pPr>
      <w:r w:rsidRPr="00C452D7">
        <w:rPr>
          <w:lang w:val="en-GB"/>
        </w:rPr>
        <w:t xml:space="preserve">Thomson, R (2010) ‘The relative power of member states in the Council: large and small, old and new’ in Naurin, D and Wallace, H (eds) </w:t>
      </w:r>
      <w:r w:rsidRPr="0041309C">
        <w:rPr>
          <w:i/>
          <w:lang w:val="en-GB"/>
        </w:rPr>
        <w:t>Unveiling the Council of the EU</w:t>
      </w:r>
      <w:r w:rsidRPr="00C452D7">
        <w:rPr>
          <w:lang w:val="en-GB"/>
        </w:rPr>
        <w:t>. Basingstoke: Palgrave.</w:t>
      </w:r>
    </w:p>
    <w:p w:rsidR="006C13E4" w:rsidRPr="00C452D7" w:rsidRDefault="000E26DB" w:rsidP="00C452D7">
      <w:pPr>
        <w:tabs>
          <w:tab w:val="num" w:pos="709"/>
        </w:tabs>
        <w:spacing w:after="120" w:line="276" w:lineRule="auto"/>
        <w:ind w:left="709" w:hanging="709"/>
        <w:rPr>
          <w:lang w:val="en-GB"/>
        </w:rPr>
      </w:pPr>
      <w:r w:rsidRPr="00C452D7">
        <w:rPr>
          <w:lang w:val="en-GB"/>
        </w:rPr>
        <w:lastRenderedPageBreak/>
        <w:t>Törő, C</w:t>
      </w:r>
      <w:r w:rsidR="0041309C">
        <w:rPr>
          <w:lang w:val="en-GB"/>
        </w:rPr>
        <w:t>.</w:t>
      </w:r>
      <w:r w:rsidRPr="00C452D7">
        <w:rPr>
          <w:lang w:val="en-GB"/>
        </w:rPr>
        <w:t>, Butler, E</w:t>
      </w:r>
      <w:r w:rsidR="0041309C">
        <w:rPr>
          <w:lang w:val="en-GB"/>
        </w:rPr>
        <w:t>.</w:t>
      </w:r>
      <w:r w:rsidRPr="00C452D7">
        <w:rPr>
          <w:lang w:val="en-GB"/>
        </w:rPr>
        <w:t>, and Grúber, K</w:t>
      </w:r>
      <w:r w:rsidR="0041309C">
        <w:rPr>
          <w:lang w:val="en-GB"/>
        </w:rPr>
        <w:t>.</w:t>
      </w:r>
      <w:r w:rsidRPr="00C452D7">
        <w:rPr>
          <w:lang w:val="en-GB"/>
        </w:rPr>
        <w:t xml:space="preserve"> (2014) </w:t>
      </w:r>
      <w:r w:rsidR="00557534">
        <w:rPr>
          <w:lang w:val="en-GB"/>
        </w:rPr>
        <w:t>‘</w:t>
      </w:r>
      <w:proofErr w:type="spellStart"/>
      <w:r w:rsidRPr="00C452D7">
        <w:rPr>
          <w:lang w:val="en-GB"/>
        </w:rPr>
        <w:t>Visegrád</w:t>
      </w:r>
      <w:proofErr w:type="spellEnd"/>
      <w:r w:rsidRPr="00C452D7">
        <w:rPr>
          <w:lang w:val="en-GB"/>
        </w:rPr>
        <w:t>: the evolving pattern of co-ordination and partnership after EU enlargement</w:t>
      </w:r>
      <w:r w:rsidR="00557534">
        <w:rPr>
          <w:lang w:val="en-GB"/>
        </w:rPr>
        <w:t>’</w:t>
      </w:r>
      <w:r w:rsidRPr="00C452D7">
        <w:rPr>
          <w:lang w:val="en-GB"/>
        </w:rPr>
        <w:t xml:space="preserve">. </w:t>
      </w:r>
      <w:r w:rsidRPr="00557534">
        <w:rPr>
          <w:i/>
          <w:lang w:val="en-GB"/>
        </w:rPr>
        <w:t>Europe-Asia Studies</w:t>
      </w:r>
      <w:r w:rsidRPr="00C452D7">
        <w:rPr>
          <w:lang w:val="en-GB"/>
        </w:rPr>
        <w:t xml:space="preserve"> 66 (3)</w:t>
      </w:r>
      <w:r w:rsidR="00F83938">
        <w:rPr>
          <w:lang w:val="en-GB"/>
        </w:rPr>
        <w:t xml:space="preserve">: </w:t>
      </w:r>
      <w:r w:rsidRPr="00C452D7">
        <w:rPr>
          <w:lang w:val="en-GB"/>
        </w:rPr>
        <w:t>364-393.</w:t>
      </w:r>
    </w:p>
    <w:p w:rsidR="00AF6BB1" w:rsidRPr="00C452D7" w:rsidRDefault="00DC7074" w:rsidP="00C452D7">
      <w:pPr>
        <w:tabs>
          <w:tab w:val="num" w:pos="709"/>
        </w:tabs>
        <w:spacing w:after="120" w:line="276" w:lineRule="auto"/>
        <w:ind w:left="709" w:hanging="709"/>
        <w:rPr>
          <w:lang w:val="en-GB"/>
        </w:rPr>
      </w:pPr>
      <w:r w:rsidRPr="00C452D7">
        <w:rPr>
          <w:lang w:val="en-GB"/>
        </w:rPr>
        <w:t xml:space="preserve">Végh, Z. (2012) </w:t>
      </w:r>
      <w:r w:rsidRPr="00557534">
        <w:rPr>
          <w:i/>
          <w:lang w:val="en-GB"/>
        </w:rPr>
        <w:t xml:space="preserve">Lessons From Visegrad Development Cooperation Practices. </w:t>
      </w:r>
      <w:proofErr w:type="gramStart"/>
      <w:r w:rsidRPr="00557534">
        <w:rPr>
          <w:i/>
          <w:lang w:val="en-GB"/>
        </w:rPr>
        <w:t>Recommendations for Hungary</w:t>
      </w:r>
      <w:r w:rsidRPr="00C452D7">
        <w:rPr>
          <w:lang w:val="en-GB"/>
        </w:rPr>
        <w:t>.</w:t>
      </w:r>
      <w:proofErr w:type="gramEnd"/>
      <w:r w:rsidRPr="00C452D7">
        <w:rPr>
          <w:lang w:val="en-GB"/>
        </w:rPr>
        <w:t xml:space="preserve"> Demnet Research Papers</w:t>
      </w:r>
    </w:p>
    <w:p w:rsidR="007D5AE6" w:rsidRPr="00C452D7" w:rsidRDefault="00127922" w:rsidP="00C452D7">
      <w:pPr>
        <w:tabs>
          <w:tab w:val="num" w:pos="709"/>
        </w:tabs>
        <w:spacing w:after="120" w:line="276" w:lineRule="auto"/>
        <w:ind w:left="709" w:hanging="709"/>
        <w:rPr>
          <w:lang w:val="en-GB"/>
        </w:rPr>
      </w:pPr>
      <w:r w:rsidRPr="00C452D7">
        <w:rPr>
          <w:lang w:val="en-GB"/>
        </w:rPr>
        <w:t xml:space="preserve">Zázvorkova, M. (2011) </w:t>
      </w:r>
      <w:r w:rsidRPr="00C452D7">
        <w:rPr>
          <w:i/>
          <w:lang w:val="en-GB"/>
        </w:rPr>
        <w:t>The Involvement of Development NGOs from Visegrad Countries in the Financial Instruments of the European Commission,</w:t>
      </w:r>
      <w:r w:rsidRPr="00C452D7">
        <w:rPr>
          <w:lang w:val="en-GB"/>
        </w:rPr>
        <w:t xml:space="preserve"> Prague: FoRS.</w:t>
      </w:r>
    </w:p>
    <w:sectPr w:rsidR="007D5AE6" w:rsidRPr="00C452D7" w:rsidSect="001E208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2B" w:rsidRDefault="00E27A2B" w:rsidP="0025799C">
      <w:r>
        <w:separator/>
      </w:r>
    </w:p>
  </w:endnote>
  <w:endnote w:type="continuationSeparator" w:id="0">
    <w:p w:rsidR="00E27A2B" w:rsidRDefault="00E27A2B" w:rsidP="0025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Arial Unicode MS"/>
    <w:charset w:val="80"/>
    <w:family w:val="roman"/>
    <w:pitch w:val="variable"/>
  </w:font>
  <w:font w:name="DejaVu Sans">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2715"/>
      <w:docPartObj>
        <w:docPartGallery w:val="Page Numbers (Bottom of Page)"/>
        <w:docPartUnique/>
      </w:docPartObj>
    </w:sdtPr>
    <w:sdtEndPr/>
    <w:sdtContent>
      <w:p w:rsidR="007C2F0F" w:rsidRDefault="00A8759D">
        <w:pPr>
          <w:pStyle w:val="Footer"/>
          <w:jc w:val="center"/>
        </w:pPr>
        <w:r>
          <w:fldChar w:fldCharType="begin"/>
        </w:r>
        <w:r>
          <w:instrText xml:space="preserve"> PAGE   \* MERGEFORMAT </w:instrText>
        </w:r>
        <w:r>
          <w:fldChar w:fldCharType="separate"/>
        </w:r>
        <w:r w:rsidR="00B5686C">
          <w:rPr>
            <w:noProof/>
          </w:rPr>
          <w:t>19</w:t>
        </w:r>
        <w:r>
          <w:rPr>
            <w:noProof/>
          </w:rPr>
          <w:fldChar w:fldCharType="end"/>
        </w:r>
      </w:p>
    </w:sdtContent>
  </w:sdt>
  <w:p w:rsidR="007C2F0F" w:rsidRDefault="007C2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2B" w:rsidRDefault="00E27A2B" w:rsidP="0025799C">
      <w:r>
        <w:separator/>
      </w:r>
    </w:p>
  </w:footnote>
  <w:footnote w:type="continuationSeparator" w:id="0">
    <w:p w:rsidR="00E27A2B" w:rsidRDefault="00E27A2B" w:rsidP="0025799C">
      <w:r>
        <w:continuationSeparator/>
      </w:r>
    </w:p>
  </w:footnote>
  <w:footnote w:id="1">
    <w:p w:rsidR="00DC5F3B" w:rsidRPr="002B340E" w:rsidRDefault="00DC5F3B" w:rsidP="00DC5F3B">
      <w:pPr>
        <w:pStyle w:val="FootnoteText"/>
        <w:rPr>
          <w:rFonts w:ascii="Times New Roman" w:hAnsi="Times New Roman"/>
          <w:lang w:val="en-GB"/>
        </w:rPr>
      </w:pPr>
      <w:r w:rsidRPr="002B340E">
        <w:rPr>
          <w:rStyle w:val="FootnoteReference"/>
          <w:rFonts w:ascii="Times New Roman" w:hAnsi="Times New Roman"/>
          <w:lang w:val="en-GB"/>
        </w:rPr>
        <w:footnoteRef/>
      </w:r>
      <w:r w:rsidRPr="002B340E">
        <w:rPr>
          <w:rFonts w:ascii="Times New Roman" w:hAnsi="Times New Roman"/>
          <w:lang w:val="en-GB"/>
        </w:rPr>
        <w:t xml:space="preserve"> Corresponding author: </w:t>
      </w:r>
      <w:hyperlink r:id="rId1" w:history="1">
        <w:r w:rsidRPr="0038774D">
          <w:rPr>
            <w:rStyle w:val="Hyperlink"/>
            <w:rFonts w:ascii="Times New Roman" w:hAnsi="Times New Roman"/>
            <w:lang w:val="en-GB"/>
          </w:rPr>
          <w:t>b.szent-ivanyi@aston.ac.uk</w:t>
        </w:r>
      </w:hyperlink>
    </w:p>
  </w:footnote>
  <w:footnote w:id="2">
    <w:p w:rsidR="007C2F0F" w:rsidRPr="009761BC" w:rsidRDefault="007C2F0F">
      <w:pPr>
        <w:pStyle w:val="FootnoteText"/>
        <w:rPr>
          <w:lang w:val="en-GB"/>
        </w:rPr>
      </w:pPr>
      <w:r>
        <w:rPr>
          <w:rStyle w:val="FootnoteReference"/>
        </w:rPr>
        <w:footnoteRef/>
      </w:r>
      <w:r>
        <w:t xml:space="preserve"> </w:t>
      </w:r>
      <w:r>
        <w:rPr>
          <w:lang w:val="en-GB"/>
        </w:rPr>
        <w:t xml:space="preserve">There is overlap between these variables and those outlined by </w:t>
      </w:r>
      <w:proofErr w:type="spellStart"/>
      <w:r>
        <w:rPr>
          <w:lang w:val="en-GB"/>
        </w:rPr>
        <w:t>Nasra</w:t>
      </w:r>
      <w:proofErr w:type="spellEnd"/>
      <w:r>
        <w:rPr>
          <w:lang w:val="en-GB"/>
        </w:rPr>
        <w:t xml:space="preserve"> (2011) in relation to the ability of small states to influence the EU agenda.</w:t>
      </w:r>
    </w:p>
  </w:footnote>
  <w:footnote w:id="3">
    <w:p w:rsidR="007C2F0F" w:rsidRPr="002B340E" w:rsidRDefault="007C2F0F" w:rsidP="009908DB">
      <w:pPr>
        <w:rPr>
          <w:sz w:val="20"/>
          <w:szCs w:val="20"/>
          <w:lang w:val="en-GB"/>
        </w:rPr>
      </w:pPr>
      <w:r w:rsidRPr="002B340E">
        <w:rPr>
          <w:rStyle w:val="FootnoteReference"/>
          <w:sz w:val="20"/>
          <w:szCs w:val="20"/>
          <w:lang w:val="en-GB"/>
        </w:rPr>
        <w:footnoteRef/>
      </w:r>
      <w:r w:rsidRPr="002B340E">
        <w:rPr>
          <w:sz w:val="20"/>
          <w:szCs w:val="20"/>
          <w:lang w:val="en-GB"/>
        </w:rPr>
        <w:t xml:space="preserve"> See for example the Polish Development Cooperation Act accepted in 2011, which makes ‘</w:t>
      </w:r>
      <w:r w:rsidRPr="002B340E">
        <w:rPr>
          <w:rFonts w:eastAsia="Times New Roman"/>
          <w:sz w:val="20"/>
          <w:szCs w:val="20"/>
          <w:lang w:val="en-GB"/>
        </w:rPr>
        <w:t>promoting and supporting the development of democracy and civil society’ the primary goal of Polish development policy.</w:t>
      </w:r>
    </w:p>
  </w:footnote>
  <w:footnote w:id="4">
    <w:p w:rsidR="007C2F0F" w:rsidRPr="002B340E" w:rsidRDefault="007C2F0F">
      <w:pPr>
        <w:pStyle w:val="FootnoteText"/>
        <w:rPr>
          <w:rFonts w:ascii="Times New Roman" w:hAnsi="Times New Roman"/>
          <w:lang w:val="en-GB"/>
        </w:rPr>
      </w:pPr>
      <w:r w:rsidRPr="002B340E">
        <w:rPr>
          <w:rStyle w:val="FootnoteReference"/>
          <w:rFonts w:ascii="Times New Roman" w:hAnsi="Times New Roman"/>
          <w:lang w:val="en-GB"/>
        </w:rPr>
        <w:footnoteRef/>
      </w:r>
      <w:r w:rsidRPr="002B340E">
        <w:rPr>
          <w:rFonts w:ascii="Times New Roman" w:hAnsi="Times New Roman"/>
          <w:lang w:val="en-GB"/>
        </w:rPr>
        <w:t xml:space="preserve"> Interview with a former EC official, 15/02/2012.</w:t>
      </w:r>
    </w:p>
  </w:footnote>
  <w:footnote w:id="5">
    <w:p w:rsidR="007C2F0F" w:rsidRPr="002B340E" w:rsidRDefault="007C2F0F">
      <w:pPr>
        <w:pStyle w:val="FootnoteText"/>
        <w:rPr>
          <w:rFonts w:ascii="Times New Roman" w:hAnsi="Times New Roman"/>
          <w:lang w:val="en-GB"/>
        </w:rPr>
      </w:pPr>
      <w:r w:rsidRPr="002B340E">
        <w:rPr>
          <w:rStyle w:val="FootnoteReference"/>
          <w:rFonts w:ascii="Times New Roman" w:hAnsi="Times New Roman"/>
          <w:lang w:val="en-GB"/>
        </w:rPr>
        <w:footnoteRef/>
      </w:r>
      <w:r w:rsidRPr="002B340E">
        <w:rPr>
          <w:rFonts w:ascii="Times New Roman" w:hAnsi="Times New Roman"/>
          <w:lang w:val="en-GB"/>
        </w:rPr>
        <w:t xml:space="preserve"> See </w:t>
      </w:r>
      <w:hyperlink r:id="rId2" w:history="1">
        <w:r w:rsidRPr="002B340E">
          <w:rPr>
            <w:rStyle w:val="Hyperlink"/>
            <w:rFonts w:ascii="Times New Roman" w:hAnsi="Times New Roman"/>
            <w:lang w:val="en-GB"/>
          </w:rPr>
          <w:t>http://capacity4dev.ec.europa.eu/</w:t>
        </w:r>
      </w:hyperlink>
      <w:r w:rsidRPr="002B340E">
        <w:rPr>
          <w:rFonts w:ascii="Times New Roman" w:hAnsi="Times New Roman"/>
          <w:lang w:val="en-GB"/>
        </w:rPr>
        <w:t xml:space="preserve">. </w:t>
      </w:r>
    </w:p>
  </w:footnote>
  <w:footnote w:id="6">
    <w:p w:rsidR="007C2F0F" w:rsidRPr="002B340E" w:rsidRDefault="007C2F0F">
      <w:pPr>
        <w:pStyle w:val="FootnoteText"/>
        <w:rPr>
          <w:rFonts w:ascii="Times New Roman" w:hAnsi="Times New Roman"/>
          <w:lang w:val="en-GB"/>
        </w:rPr>
      </w:pPr>
      <w:r w:rsidRPr="002B340E">
        <w:rPr>
          <w:rStyle w:val="FootnoteReference"/>
          <w:rFonts w:ascii="Times New Roman" w:hAnsi="Times New Roman"/>
          <w:lang w:val="en-GB"/>
        </w:rPr>
        <w:footnoteRef/>
      </w:r>
      <w:r w:rsidRPr="002B340E">
        <w:rPr>
          <w:rFonts w:ascii="Times New Roman" w:hAnsi="Times New Roman"/>
          <w:lang w:val="en-GB"/>
        </w:rPr>
        <w:t xml:space="preserve"> Interview with an EC official 21/01/2013.</w:t>
      </w:r>
    </w:p>
  </w:footnote>
  <w:footnote w:id="7">
    <w:p w:rsidR="007C2F0F" w:rsidRPr="002B340E" w:rsidRDefault="007C2F0F" w:rsidP="00233D7E">
      <w:pPr>
        <w:pStyle w:val="FootnoteText"/>
        <w:jc w:val="both"/>
        <w:rPr>
          <w:rFonts w:ascii="Times New Roman" w:hAnsi="Times New Roman"/>
          <w:lang w:val="en-GB"/>
        </w:rPr>
      </w:pPr>
      <w:r w:rsidRPr="002B340E">
        <w:rPr>
          <w:rStyle w:val="FootnoteReference"/>
          <w:rFonts w:ascii="Times New Roman" w:hAnsi="Times New Roman"/>
          <w:lang w:val="en-GB"/>
        </w:rPr>
        <w:footnoteRef/>
      </w:r>
      <w:r w:rsidRPr="002B340E">
        <w:rPr>
          <w:rFonts w:ascii="Times New Roman" w:hAnsi="Times New Roman"/>
          <w:lang w:val="en-GB"/>
        </w:rPr>
        <w:t xml:space="preserve"> See the regulation on the European Neighbourhood Instrument, which includes a reference to transition experience: ‘In European Neighbourhood countries, where alignment to Union rules and standards is one of the key policy objectives, the Union is best placed to deliver its support under this Regulation. Certain specific support can only be provided at Union level. Member States' transition experience can also contribute to the success of reforms in European Neighbourhood countries and to promoting universal values in the European Neighbourhood’ (European Union 2014: 11)</w:t>
      </w:r>
    </w:p>
  </w:footnote>
  <w:footnote w:id="8">
    <w:p w:rsidR="007C2F0F" w:rsidRPr="002B340E" w:rsidRDefault="007C2F0F">
      <w:pPr>
        <w:pStyle w:val="FootnoteText"/>
        <w:rPr>
          <w:rFonts w:ascii="Times New Roman" w:hAnsi="Times New Roman"/>
        </w:rPr>
      </w:pPr>
      <w:r w:rsidRPr="002B340E">
        <w:rPr>
          <w:rStyle w:val="FootnoteReference"/>
          <w:rFonts w:ascii="Times New Roman" w:hAnsi="Times New Roman"/>
        </w:rPr>
        <w:footnoteRef/>
      </w:r>
      <w:r w:rsidRPr="002B340E">
        <w:rPr>
          <w:rFonts w:ascii="Times New Roman" w:hAnsi="Times New Roman"/>
        </w:rPr>
        <w:t xml:space="preserve"> </w:t>
      </w:r>
      <w:r w:rsidRPr="002B340E">
        <w:rPr>
          <w:rFonts w:ascii="Times New Roman" w:hAnsi="Times New Roman"/>
          <w:lang w:val="en-GB"/>
        </w:rPr>
        <w:t>Interview with an EC official 23/01/2013.</w:t>
      </w:r>
    </w:p>
  </w:footnote>
  <w:footnote w:id="9">
    <w:p w:rsidR="007C2F0F" w:rsidRPr="002B340E" w:rsidRDefault="007C2F0F">
      <w:pPr>
        <w:pStyle w:val="FootnoteText"/>
        <w:rPr>
          <w:rFonts w:ascii="Times New Roman" w:hAnsi="Times New Roman"/>
        </w:rPr>
      </w:pPr>
      <w:r w:rsidRPr="002B340E">
        <w:rPr>
          <w:rStyle w:val="FootnoteReference"/>
          <w:rFonts w:ascii="Times New Roman" w:hAnsi="Times New Roman"/>
        </w:rPr>
        <w:footnoteRef/>
      </w:r>
      <w:r w:rsidRPr="002B340E">
        <w:rPr>
          <w:rFonts w:ascii="Times New Roman" w:hAnsi="Times New Roman"/>
        </w:rPr>
        <w:t xml:space="preserve"> </w:t>
      </w:r>
      <w:r w:rsidRPr="002B340E">
        <w:rPr>
          <w:rFonts w:ascii="Times New Roman" w:hAnsi="Times New Roman"/>
          <w:lang w:val="en-GB"/>
        </w:rPr>
        <w:t>Interview with a CEE diplomat 21/01/2013.</w:t>
      </w:r>
    </w:p>
  </w:footnote>
  <w:footnote w:id="10">
    <w:p w:rsidR="007C2F0F" w:rsidRPr="002B340E" w:rsidRDefault="007C2F0F">
      <w:pPr>
        <w:pStyle w:val="FootnoteText"/>
        <w:rPr>
          <w:rFonts w:ascii="Times New Roman" w:hAnsi="Times New Roman"/>
        </w:rPr>
      </w:pPr>
      <w:r w:rsidRPr="002B340E">
        <w:rPr>
          <w:rStyle w:val="FootnoteReference"/>
          <w:rFonts w:ascii="Times New Roman" w:hAnsi="Times New Roman"/>
        </w:rPr>
        <w:footnoteRef/>
      </w:r>
      <w:r w:rsidRPr="002B340E">
        <w:rPr>
          <w:rFonts w:ascii="Times New Roman" w:hAnsi="Times New Roman"/>
        </w:rPr>
        <w:t xml:space="preserve"> </w:t>
      </w:r>
      <w:r w:rsidRPr="002B340E">
        <w:rPr>
          <w:rFonts w:ascii="Times New Roman" w:hAnsi="Times New Roman"/>
          <w:lang w:val="en-GB"/>
        </w:rPr>
        <w:t>Interview with a CEE diplomat 29/01/2013.</w:t>
      </w:r>
    </w:p>
  </w:footnote>
  <w:footnote w:id="11">
    <w:p w:rsidR="007C2F0F" w:rsidRPr="002B340E" w:rsidRDefault="007C2F0F">
      <w:pPr>
        <w:pStyle w:val="FootnoteText"/>
        <w:rPr>
          <w:rFonts w:ascii="Times New Roman" w:hAnsi="Times New Roman"/>
        </w:rPr>
      </w:pPr>
      <w:r w:rsidRPr="002B340E">
        <w:rPr>
          <w:rStyle w:val="FootnoteReference"/>
          <w:rFonts w:ascii="Times New Roman" w:hAnsi="Times New Roman"/>
        </w:rPr>
        <w:footnoteRef/>
      </w:r>
      <w:r w:rsidRPr="002B340E">
        <w:rPr>
          <w:rFonts w:ascii="Times New Roman" w:hAnsi="Times New Roman"/>
        </w:rPr>
        <w:t xml:space="preserve"> </w:t>
      </w:r>
      <w:r w:rsidRPr="002B340E">
        <w:rPr>
          <w:rFonts w:ascii="Times New Roman" w:hAnsi="Times New Roman"/>
          <w:lang w:val="en-GB"/>
        </w:rPr>
        <w:t>Interview with an EC official 23/01/2013.</w:t>
      </w:r>
    </w:p>
  </w:footnote>
  <w:footnote w:id="12">
    <w:p w:rsidR="007C2F0F" w:rsidRPr="002B340E" w:rsidRDefault="007C2F0F">
      <w:pPr>
        <w:pStyle w:val="FootnoteText"/>
        <w:rPr>
          <w:rFonts w:ascii="Times New Roman" w:hAnsi="Times New Roman"/>
        </w:rPr>
      </w:pPr>
      <w:r w:rsidRPr="002B340E">
        <w:rPr>
          <w:rStyle w:val="FootnoteReference"/>
          <w:rFonts w:ascii="Times New Roman" w:hAnsi="Times New Roman"/>
        </w:rPr>
        <w:footnoteRef/>
      </w:r>
      <w:r w:rsidRPr="002B340E">
        <w:rPr>
          <w:rFonts w:ascii="Times New Roman" w:hAnsi="Times New Roman"/>
        </w:rPr>
        <w:t xml:space="preserve"> </w:t>
      </w:r>
      <w:r w:rsidRPr="002B340E">
        <w:rPr>
          <w:rFonts w:ascii="Times New Roman" w:hAnsi="Times New Roman"/>
          <w:lang w:val="en-GB"/>
        </w:rPr>
        <w:t>Interview with a Council Secretariat official 22/01/2013.</w:t>
      </w:r>
    </w:p>
  </w:footnote>
  <w:footnote w:id="13">
    <w:p w:rsidR="007C2F0F" w:rsidRPr="002B340E" w:rsidRDefault="007C2F0F">
      <w:pPr>
        <w:pStyle w:val="FootnoteText"/>
        <w:rPr>
          <w:rFonts w:ascii="Times New Roman" w:hAnsi="Times New Roman"/>
          <w:lang w:val="en-GB"/>
        </w:rPr>
      </w:pPr>
      <w:r w:rsidRPr="002B340E">
        <w:rPr>
          <w:rStyle w:val="FootnoteReference"/>
          <w:rFonts w:ascii="Times New Roman" w:hAnsi="Times New Roman"/>
          <w:lang w:val="en-GB"/>
        </w:rPr>
        <w:footnoteRef/>
      </w:r>
      <w:r w:rsidRPr="002B340E">
        <w:rPr>
          <w:rFonts w:ascii="Times New Roman" w:hAnsi="Times New Roman"/>
          <w:lang w:val="en-GB"/>
        </w:rPr>
        <w:t xml:space="preserve"> </w:t>
      </w:r>
      <w:proofErr w:type="gramStart"/>
      <w:r w:rsidRPr="009761BC">
        <w:rPr>
          <w:rFonts w:ascii="Times New Roman" w:hAnsi="Times New Roman"/>
          <w:lang w:val="en-GB"/>
        </w:rPr>
        <w:t>Interview with a CEE diplomat 2008</w:t>
      </w:r>
      <w:r>
        <w:rPr>
          <w:rFonts w:ascii="Times New Roman" w:hAnsi="Times New Roman"/>
          <w:lang w:val="en-GB"/>
        </w:rPr>
        <w:t>.</w:t>
      </w:r>
      <w:proofErr w:type="gramEnd"/>
    </w:p>
  </w:footnote>
  <w:footnote w:id="14">
    <w:p w:rsidR="007C2F0F" w:rsidRDefault="007C2F0F">
      <w:pPr>
        <w:pStyle w:val="FootnoteText"/>
      </w:pPr>
      <w:r>
        <w:rPr>
          <w:rStyle w:val="FootnoteReference"/>
        </w:rPr>
        <w:footnoteRef/>
      </w:r>
      <w:r>
        <w:t xml:space="preserve"> </w:t>
      </w:r>
      <w:proofErr w:type="gramStart"/>
      <w:r w:rsidRPr="002B340E">
        <w:rPr>
          <w:rFonts w:ascii="Times New Roman" w:hAnsi="Times New Roman"/>
          <w:lang w:val="en-GB"/>
        </w:rPr>
        <w:t>Interview with a Council Secretariat official 22/01/2013.</w:t>
      </w:r>
      <w:proofErr w:type="gramEnd"/>
    </w:p>
  </w:footnote>
  <w:footnote w:id="15">
    <w:p w:rsidR="007C2F0F" w:rsidRDefault="007C2F0F">
      <w:pPr>
        <w:pStyle w:val="FootnoteText"/>
      </w:pPr>
      <w:r>
        <w:rPr>
          <w:rStyle w:val="FootnoteReference"/>
        </w:rPr>
        <w:footnoteRef/>
      </w:r>
      <w:r>
        <w:t xml:space="preserve"> Interview, April 2014</w:t>
      </w:r>
    </w:p>
  </w:footnote>
  <w:footnote w:id="16">
    <w:p w:rsidR="007C2F0F" w:rsidRPr="002B340E" w:rsidRDefault="007C2F0F">
      <w:pPr>
        <w:pStyle w:val="FootnoteText"/>
        <w:rPr>
          <w:rFonts w:ascii="Times New Roman" w:hAnsi="Times New Roman"/>
          <w:lang w:val="en-GB"/>
        </w:rPr>
      </w:pPr>
      <w:r w:rsidRPr="002B340E">
        <w:rPr>
          <w:rStyle w:val="FootnoteReference"/>
          <w:rFonts w:ascii="Times New Roman" w:hAnsi="Times New Roman"/>
          <w:lang w:val="en-GB"/>
        </w:rPr>
        <w:footnoteRef/>
      </w:r>
      <w:r w:rsidRPr="002B340E">
        <w:rPr>
          <w:rFonts w:ascii="Times New Roman" w:hAnsi="Times New Roman"/>
          <w:lang w:val="en-GB"/>
        </w:rPr>
        <w:t xml:space="preserve"> Interview </w:t>
      </w:r>
      <w:r>
        <w:rPr>
          <w:rFonts w:ascii="Times New Roman" w:hAnsi="Times New Roman"/>
          <w:lang w:val="en-GB"/>
        </w:rPr>
        <w:t>with a CEE diplomat</w:t>
      </w:r>
      <w:r w:rsidRPr="002B340E">
        <w:rPr>
          <w:rFonts w:ascii="Times New Roman" w:hAnsi="Times New Roman"/>
          <w:lang w:val="en-GB"/>
        </w:rPr>
        <w:t xml:space="preserve">, Brussels, 2008.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CE1"/>
    <w:multiLevelType w:val="hybridMultilevel"/>
    <w:tmpl w:val="4662A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B0129F"/>
    <w:multiLevelType w:val="hybridMultilevel"/>
    <w:tmpl w:val="5D1EDD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93144B1"/>
    <w:multiLevelType w:val="hybridMultilevel"/>
    <w:tmpl w:val="FDF8BD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AFF4C5F"/>
    <w:multiLevelType w:val="hybridMultilevel"/>
    <w:tmpl w:val="66183C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C51775B"/>
    <w:multiLevelType w:val="hybridMultilevel"/>
    <w:tmpl w:val="8480BF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15D7831"/>
    <w:multiLevelType w:val="hybridMultilevel"/>
    <w:tmpl w:val="8EB2B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E2C6E3D"/>
    <w:multiLevelType w:val="hybridMultilevel"/>
    <w:tmpl w:val="F7703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92F66CD"/>
    <w:multiLevelType w:val="hybridMultilevel"/>
    <w:tmpl w:val="35345998"/>
    <w:lvl w:ilvl="0" w:tplc="AC9A2BBC">
      <w:start w:val="1"/>
      <w:numFmt w:val="decimal"/>
      <w:lvlText w:val="[%1]"/>
      <w:lvlJc w:val="left"/>
      <w:pPr>
        <w:tabs>
          <w:tab w:val="num" w:pos="360"/>
        </w:tabs>
        <w:ind w:left="360" w:hanging="360"/>
      </w:pPr>
      <w:rPr>
        <w:rFonts w:cs="Times New Roman" w:hint="default"/>
      </w:r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nsid w:val="4BC3396A"/>
    <w:multiLevelType w:val="hybridMultilevel"/>
    <w:tmpl w:val="A06CB6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5916D0B"/>
    <w:multiLevelType w:val="hybridMultilevel"/>
    <w:tmpl w:val="B11E5BE6"/>
    <w:lvl w:ilvl="0" w:tplc="91E2087C">
      <w:start w:val="1"/>
      <w:numFmt w:val="decimal"/>
      <w:lvlText w:val="%1."/>
      <w:lvlJc w:val="left"/>
      <w:pPr>
        <w:ind w:left="720" w:hanging="360"/>
      </w:pPr>
      <w:rPr>
        <w:rFonts w:hint="default"/>
      </w:rPr>
    </w:lvl>
    <w:lvl w:ilvl="1" w:tplc="040E0019">
      <w:start w:val="1"/>
      <w:numFmt w:val="lowerLetter"/>
      <w:lvlText w:val="%2."/>
      <w:lvlJc w:val="left"/>
      <w:pPr>
        <w:ind w:left="1495"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D2D3F"/>
    <w:multiLevelType w:val="hybridMultilevel"/>
    <w:tmpl w:val="062E7A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AE41585"/>
    <w:multiLevelType w:val="hybridMultilevel"/>
    <w:tmpl w:val="7D2EB1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BFF389B"/>
    <w:multiLevelType w:val="hybridMultilevel"/>
    <w:tmpl w:val="B11E5BE6"/>
    <w:lvl w:ilvl="0" w:tplc="91E2087C">
      <w:start w:val="1"/>
      <w:numFmt w:val="decimal"/>
      <w:lvlText w:val="%1."/>
      <w:lvlJc w:val="left"/>
      <w:pPr>
        <w:ind w:left="720" w:hanging="360"/>
      </w:pPr>
      <w:rPr>
        <w:rFonts w:hint="default"/>
      </w:rPr>
    </w:lvl>
    <w:lvl w:ilvl="1" w:tplc="040E0019">
      <w:start w:val="1"/>
      <w:numFmt w:val="lowerLetter"/>
      <w:lvlText w:val="%2."/>
      <w:lvlJc w:val="left"/>
      <w:pPr>
        <w:ind w:left="1495"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2"/>
  </w:num>
  <w:num w:numId="5">
    <w:abstractNumId w:val="9"/>
  </w:num>
  <w:num w:numId="6">
    <w:abstractNumId w:val="11"/>
  </w:num>
  <w:num w:numId="7">
    <w:abstractNumId w:val="0"/>
  </w:num>
  <w:num w:numId="8">
    <w:abstractNumId w:val="1"/>
  </w:num>
  <w:num w:numId="9">
    <w:abstractNumId w:val="10"/>
  </w:num>
  <w:num w:numId="10">
    <w:abstractNumId w:val="2"/>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9C"/>
    <w:rsid w:val="00014509"/>
    <w:rsid w:val="00035397"/>
    <w:rsid w:val="00037813"/>
    <w:rsid w:val="0004273A"/>
    <w:rsid w:val="000608CF"/>
    <w:rsid w:val="000644E2"/>
    <w:rsid w:val="00093EDE"/>
    <w:rsid w:val="00097FE3"/>
    <w:rsid w:val="000A3D80"/>
    <w:rsid w:val="000A6CB6"/>
    <w:rsid w:val="000B42C3"/>
    <w:rsid w:val="000E0715"/>
    <w:rsid w:val="000E26DB"/>
    <w:rsid w:val="000E5703"/>
    <w:rsid w:val="00113F26"/>
    <w:rsid w:val="00125662"/>
    <w:rsid w:val="00127922"/>
    <w:rsid w:val="00135F4B"/>
    <w:rsid w:val="00140226"/>
    <w:rsid w:val="00140FF4"/>
    <w:rsid w:val="00147A3C"/>
    <w:rsid w:val="001563B3"/>
    <w:rsid w:val="00163019"/>
    <w:rsid w:val="00163346"/>
    <w:rsid w:val="00171A8D"/>
    <w:rsid w:val="00183C40"/>
    <w:rsid w:val="00193DAB"/>
    <w:rsid w:val="001953BF"/>
    <w:rsid w:val="001A7726"/>
    <w:rsid w:val="001D1005"/>
    <w:rsid w:val="001E2083"/>
    <w:rsid w:val="001E4AAA"/>
    <w:rsid w:val="001F1A5B"/>
    <w:rsid w:val="00204E2D"/>
    <w:rsid w:val="00205415"/>
    <w:rsid w:val="002141F9"/>
    <w:rsid w:val="00221EA9"/>
    <w:rsid w:val="00224777"/>
    <w:rsid w:val="00233D7E"/>
    <w:rsid w:val="002367E4"/>
    <w:rsid w:val="002409A7"/>
    <w:rsid w:val="0025799C"/>
    <w:rsid w:val="00275C4C"/>
    <w:rsid w:val="002858FF"/>
    <w:rsid w:val="00295C30"/>
    <w:rsid w:val="002A0AFA"/>
    <w:rsid w:val="002A0FC2"/>
    <w:rsid w:val="002A1216"/>
    <w:rsid w:val="002A44E4"/>
    <w:rsid w:val="002B340E"/>
    <w:rsid w:val="002D0523"/>
    <w:rsid w:val="002D1286"/>
    <w:rsid w:val="00310F64"/>
    <w:rsid w:val="003553C8"/>
    <w:rsid w:val="00373257"/>
    <w:rsid w:val="003A65E7"/>
    <w:rsid w:val="003B6997"/>
    <w:rsid w:val="003D4310"/>
    <w:rsid w:val="003D6357"/>
    <w:rsid w:val="003D7437"/>
    <w:rsid w:val="003E32A4"/>
    <w:rsid w:val="004048B3"/>
    <w:rsid w:val="0041309C"/>
    <w:rsid w:val="0041584D"/>
    <w:rsid w:val="004349DC"/>
    <w:rsid w:val="00434F4E"/>
    <w:rsid w:val="004A3CD7"/>
    <w:rsid w:val="004B0C50"/>
    <w:rsid w:val="004D47E3"/>
    <w:rsid w:val="004E1BEE"/>
    <w:rsid w:val="004E3634"/>
    <w:rsid w:val="004E6D0D"/>
    <w:rsid w:val="004E7DAE"/>
    <w:rsid w:val="00505563"/>
    <w:rsid w:val="005116B3"/>
    <w:rsid w:val="005343AB"/>
    <w:rsid w:val="005414FA"/>
    <w:rsid w:val="00551A6A"/>
    <w:rsid w:val="0055359A"/>
    <w:rsid w:val="00557534"/>
    <w:rsid w:val="00571D8C"/>
    <w:rsid w:val="00581E7A"/>
    <w:rsid w:val="00586E4C"/>
    <w:rsid w:val="005913AF"/>
    <w:rsid w:val="00596804"/>
    <w:rsid w:val="005C4226"/>
    <w:rsid w:val="005C669E"/>
    <w:rsid w:val="005D29D8"/>
    <w:rsid w:val="005D2ECF"/>
    <w:rsid w:val="005E7966"/>
    <w:rsid w:val="0060060A"/>
    <w:rsid w:val="006128AC"/>
    <w:rsid w:val="00625320"/>
    <w:rsid w:val="00625E41"/>
    <w:rsid w:val="00636EB5"/>
    <w:rsid w:val="00644A36"/>
    <w:rsid w:val="00645C03"/>
    <w:rsid w:val="00650706"/>
    <w:rsid w:val="00652DF8"/>
    <w:rsid w:val="006629E5"/>
    <w:rsid w:val="00670689"/>
    <w:rsid w:val="00670828"/>
    <w:rsid w:val="00673582"/>
    <w:rsid w:val="0069000B"/>
    <w:rsid w:val="00691BC8"/>
    <w:rsid w:val="006A2D9C"/>
    <w:rsid w:val="006A481F"/>
    <w:rsid w:val="006A6036"/>
    <w:rsid w:val="006B4700"/>
    <w:rsid w:val="006C025D"/>
    <w:rsid w:val="006C13E4"/>
    <w:rsid w:val="006D28CC"/>
    <w:rsid w:val="006F0C4C"/>
    <w:rsid w:val="006F684E"/>
    <w:rsid w:val="00715BC5"/>
    <w:rsid w:val="007274B4"/>
    <w:rsid w:val="007314D3"/>
    <w:rsid w:val="00734C25"/>
    <w:rsid w:val="007433EE"/>
    <w:rsid w:val="0074632B"/>
    <w:rsid w:val="00777F64"/>
    <w:rsid w:val="00781441"/>
    <w:rsid w:val="00787BDD"/>
    <w:rsid w:val="00787F52"/>
    <w:rsid w:val="007A670A"/>
    <w:rsid w:val="007B0A53"/>
    <w:rsid w:val="007B75CC"/>
    <w:rsid w:val="007B7BE3"/>
    <w:rsid w:val="007C2F0F"/>
    <w:rsid w:val="007C5492"/>
    <w:rsid w:val="007D5AE6"/>
    <w:rsid w:val="007E21BB"/>
    <w:rsid w:val="007E6FBE"/>
    <w:rsid w:val="00803125"/>
    <w:rsid w:val="00804397"/>
    <w:rsid w:val="0080625B"/>
    <w:rsid w:val="00816159"/>
    <w:rsid w:val="00843982"/>
    <w:rsid w:val="00870EA7"/>
    <w:rsid w:val="008737A5"/>
    <w:rsid w:val="0087661F"/>
    <w:rsid w:val="0088643A"/>
    <w:rsid w:val="008B266F"/>
    <w:rsid w:val="008E64D2"/>
    <w:rsid w:val="00920B4C"/>
    <w:rsid w:val="00926D0C"/>
    <w:rsid w:val="00951488"/>
    <w:rsid w:val="00952DB2"/>
    <w:rsid w:val="009761BC"/>
    <w:rsid w:val="009908DB"/>
    <w:rsid w:val="009B07F0"/>
    <w:rsid w:val="009C6093"/>
    <w:rsid w:val="009E245D"/>
    <w:rsid w:val="00A1367D"/>
    <w:rsid w:val="00A2410A"/>
    <w:rsid w:val="00A30D1C"/>
    <w:rsid w:val="00A44882"/>
    <w:rsid w:val="00A514F0"/>
    <w:rsid w:val="00A6043F"/>
    <w:rsid w:val="00A604D5"/>
    <w:rsid w:val="00A617B6"/>
    <w:rsid w:val="00A6367A"/>
    <w:rsid w:val="00A67311"/>
    <w:rsid w:val="00A77E0F"/>
    <w:rsid w:val="00A80954"/>
    <w:rsid w:val="00A8759D"/>
    <w:rsid w:val="00A8776D"/>
    <w:rsid w:val="00A95CFC"/>
    <w:rsid w:val="00AB126F"/>
    <w:rsid w:val="00AC3D97"/>
    <w:rsid w:val="00AD0D34"/>
    <w:rsid w:val="00AD66F5"/>
    <w:rsid w:val="00AF6BB1"/>
    <w:rsid w:val="00B073AA"/>
    <w:rsid w:val="00B076C6"/>
    <w:rsid w:val="00B1391D"/>
    <w:rsid w:val="00B33D81"/>
    <w:rsid w:val="00B51A53"/>
    <w:rsid w:val="00B54FB6"/>
    <w:rsid w:val="00B5686C"/>
    <w:rsid w:val="00B670D7"/>
    <w:rsid w:val="00B67BCC"/>
    <w:rsid w:val="00BB12F0"/>
    <w:rsid w:val="00BC4335"/>
    <w:rsid w:val="00BD3276"/>
    <w:rsid w:val="00BD52A5"/>
    <w:rsid w:val="00BF49A9"/>
    <w:rsid w:val="00C13A56"/>
    <w:rsid w:val="00C361C8"/>
    <w:rsid w:val="00C452D7"/>
    <w:rsid w:val="00C61F05"/>
    <w:rsid w:val="00C801C7"/>
    <w:rsid w:val="00CB4739"/>
    <w:rsid w:val="00CD03B5"/>
    <w:rsid w:val="00CD564B"/>
    <w:rsid w:val="00CE13A1"/>
    <w:rsid w:val="00CE60B9"/>
    <w:rsid w:val="00D0121A"/>
    <w:rsid w:val="00D01EAC"/>
    <w:rsid w:val="00D1783C"/>
    <w:rsid w:val="00D324E0"/>
    <w:rsid w:val="00D66BDE"/>
    <w:rsid w:val="00D810FE"/>
    <w:rsid w:val="00D84D2C"/>
    <w:rsid w:val="00DC5F3B"/>
    <w:rsid w:val="00DC7074"/>
    <w:rsid w:val="00DD03CD"/>
    <w:rsid w:val="00DF20C1"/>
    <w:rsid w:val="00E161B6"/>
    <w:rsid w:val="00E258B4"/>
    <w:rsid w:val="00E27A2B"/>
    <w:rsid w:val="00E72F59"/>
    <w:rsid w:val="00E87430"/>
    <w:rsid w:val="00EB03FF"/>
    <w:rsid w:val="00EC3EE5"/>
    <w:rsid w:val="00ED64B8"/>
    <w:rsid w:val="00ED6C36"/>
    <w:rsid w:val="00EE02AA"/>
    <w:rsid w:val="00EE4E32"/>
    <w:rsid w:val="00EF5A74"/>
    <w:rsid w:val="00F06EF8"/>
    <w:rsid w:val="00F11C6A"/>
    <w:rsid w:val="00F35C4D"/>
    <w:rsid w:val="00F373F7"/>
    <w:rsid w:val="00F375F1"/>
    <w:rsid w:val="00F37612"/>
    <w:rsid w:val="00F469D0"/>
    <w:rsid w:val="00F71733"/>
    <w:rsid w:val="00F83938"/>
    <w:rsid w:val="00FC0C49"/>
    <w:rsid w:val="00FC4CF8"/>
    <w:rsid w:val="00FF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9C"/>
    <w:rPr>
      <w:rFonts w:eastAsiaTheme="minorHAnsi"/>
      <w:sz w:val="24"/>
      <w:szCs w:val="24"/>
    </w:rPr>
  </w:style>
  <w:style w:type="paragraph" w:styleId="Heading1">
    <w:name w:val="heading 1"/>
    <w:basedOn w:val="Normal"/>
    <w:link w:val="Heading1Char"/>
    <w:uiPriority w:val="9"/>
    <w:qFormat/>
    <w:rsid w:val="002D1286"/>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locked/>
    <w:rsid w:val="00310F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70689"/>
    <w:rPr>
      <w:rFonts w:eastAsia="Times New Roman"/>
      <w:b/>
      <w:bCs/>
      <w:sz w:val="20"/>
      <w:szCs w:val="20"/>
      <w:lang w:val="en-US" w:eastAsia="en-US"/>
    </w:rPr>
  </w:style>
  <w:style w:type="paragraph" w:customStyle="1" w:styleId="Cmsor11">
    <w:name w:val="Címsor 11"/>
    <w:qFormat/>
    <w:rsid w:val="00670689"/>
    <w:pPr>
      <w:keepNext/>
      <w:outlineLvl w:val="0"/>
    </w:pPr>
    <w:rPr>
      <w:rFonts w:ascii="Helvetica" w:eastAsia="Arial Unicode MS" w:hAnsi="Helvetica"/>
      <w:b/>
      <w:color w:val="000000"/>
      <w:sz w:val="36"/>
    </w:rPr>
  </w:style>
  <w:style w:type="paragraph" w:styleId="FootnoteText">
    <w:name w:val="footnote text"/>
    <w:basedOn w:val="Normal"/>
    <w:link w:val="FootnoteTextChar"/>
    <w:semiHidden/>
    <w:rsid w:val="0025799C"/>
    <w:rPr>
      <w:rFonts w:ascii="Calibri" w:eastAsia="Times New Roman" w:hAnsi="Calibri"/>
      <w:sz w:val="20"/>
      <w:szCs w:val="20"/>
      <w:lang w:eastAsia="en-US"/>
    </w:rPr>
  </w:style>
  <w:style w:type="character" w:customStyle="1" w:styleId="FootnoteTextChar">
    <w:name w:val="Footnote Text Char"/>
    <w:basedOn w:val="DefaultParagraphFont"/>
    <w:link w:val="FootnoteText"/>
    <w:uiPriority w:val="99"/>
    <w:semiHidden/>
    <w:rsid w:val="0025799C"/>
    <w:rPr>
      <w:rFonts w:ascii="Calibri" w:hAnsi="Calibri"/>
      <w:lang w:eastAsia="en-US"/>
    </w:rPr>
  </w:style>
  <w:style w:type="character" w:styleId="FootnoteReference">
    <w:name w:val="footnote reference"/>
    <w:basedOn w:val="DefaultParagraphFont"/>
    <w:semiHidden/>
    <w:rsid w:val="0025799C"/>
    <w:rPr>
      <w:rFonts w:cs="Times New Roman"/>
      <w:vertAlign w:val="superscript"/>
    </w:rPr>
  </w:style>
  <w:style w:type="character" w:styleId="Hyperlink">
    <w:name w:val="Hyperlink"/>
    <w:basedOn w:val="DefaultParagraphFont"/>
    <w:uiPriority w:val="99"/>
    <w:rsid w:val="0025799C"/>
    <w:rPr>
      <w:rFonts w:cs="Times New Roman"/>
      <w:color w:val="0000FF"/>
      <w:u w:val="single"/>
    </w:rPr>
  </w:style>
  <w:style w:type="paragraph" w:styleId="ListParagraph">
    <w:name w:val="List Paragraph"/>
    <w:basedOn w:val="Normal"/>
    <w:uiPriority w:val="34"/>
    <w:qFormat/>
    <w:rsid w:val="0074632B"/>
    <w:pPr>
      <w:ind w:left="720"/>
      <w:contextualSpacing/>
    </w:pPr>
  </w:style>
  <w:style w:type="character" w:customStyle="1" w:styleId="longtext1">
    <w:name w:val="long_text1"/>
    <w:basedOn w:val="DefaultParagraphFont"/>
    <w:rsid w:val="008B266F"/>
    <w:rPr>
      <w:rFonts w:cs="Times New Roman"/>
      <w:sz w:val="20"/>
      <w:szCs w:val="20"/>
    </w:rPr>
  </w:style>
  <w:style w:type="paragraph" w:styleId="Title">
    <w:name w:val="Title"/>
    <w:basedOn w:val="Normal"/>
    <w:next w:val="Normal"/>
    <w:link w:val="TitleChar"/>
    <w:qFormat/>
    <w:locked/>
    <w:rsid w:val="008B266F"/>
    <w:pPr>
      <w:widowControl w:val="0"/>
      <w:suppressAutoHyphens/>
      <w:jc w:val="center"/>
    </w:pPr>
    <w:rPr>
      <w:rFonts w:ascii="Liberation Serif" w:eastAsia="DejaVu Sans" w:hAnsi="Liberation Serif" w:cs="DejaVu Sans"/>
      <w:b/>
      <w:bCs/>
      <w:kern w:val="1"/>
      <w:lang w:val="en-US" w:eastAsia="hi-IN" w:bidi="hi-IN"/>
    </w:rPr>
  </w:style>
  <w:style w:type="character" w:customStyle="1" w:styleId="TitleChar">
    <w:name w:val="Title Char"/>
    <w:basedOn w:val="DefaultParagraphFont"/>
    <w:link w:val="Title"/>
    <w:rsid w:val="008B266F"/>
    <w:rPr>
      <w:rFonts w:ascii="Liberation Serif" w:eastAsia="DejaVu Sans" w:hAnsi="Liberation Serif" w:cs="DejaVu Sans"/>
      <w:b/>
      <w:bCs/>
      <w:kern w:val="1"/>
      <w:sz w:val="24"/>
      <w:szCs w:val="24"/>
      <w:lang w:val="en-US" w:eastAsia="hi-IN" w:bidi="hi-IN"/>
    </w:rPr>
  </w:style>
  <w:style w:type="paragraph" w:styleId="Subtitle">
    <w:name w:val="Subtitle"/>
    <w:basedOn w:val="Normal"/>
    <w:next w:val="Normal"/>
    <w:link w:val="SubtitleChar"/>
    <w:qFormat/>
    <w:locked/>
    <w:rsid w:val="008B266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B266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D1286"/>
    <w:rPr>
      <w:b/>
      <w:bCs/>
      <w:kern w:val="36"/>
      <w:sz w:val="48"/>
      <w:szCs w:val="48"/>
    </w:rPr>
  </w:style>
  <w:style w:type="character" w:styleId="CommentReference">
    <w:name w:val="annotation reference"/>
    <w:basedOn w:val="DefaultParagraphFont"/>
    <w:uiPriority w:val="99"/>
    <w:semiHidden/>
    <w:unhideWhenUsed/>
    <w:rsid w:val="00596804"/>
    <w:rPr>
      <w:sz w:val="16"/>
      <w:szCs w:val="16"/>
    </w:rPr>
  </w:style>
  <w:style w:type="paragraph" w:styleId="CommentText">
    <w:name w:val="annotation text"/>
    <w:basedOn w:val="Normal"/>
    <w:link w:val="CommentTextChar"/>
    <w:uiPriority w:val="99"/>
    <w:semiHidden/>
    <w:unhideWhenUsed/>
    <w:rsid w:val="00596804"/>
    <w:rPr>
      <w:sz w:val="20"/>
      <w:szCs w:val="20"/>
    </w:rPr>
  </w:style>
  <w:style w:type="character" w:customStyle="1" w:styleId="CommentTextChar">
    <w:name w:val="Comment Text Char"/>
    <w:basedOn w:val="DefaultParagraphFont"/>
    <w:link w:val="CommentText"/>
    <w:uiPriority w:val="99"/>
    <w:semiHidden/>
    <w:rsid w:val="00596804"/>
    <w:rPr>
      <w:rFonts w:eastAsiaTheme="minorHAnsi"/>
    </w:rPr>
  </w:style>
  <w:style w:type="paragraph" w:styleId="CommentSubject">
    <w:name w:val="annotation subject"/>
    <w:basedOn w:val="CommentText"/>
    <w:next w:val="CommentText"/>
    <w:link w:val="CommentSubjectChar"/>
    <w:uiPriority w:val="99"/>
    <w:semiHidden/>
    <w:unhideWhenUsed/>
    <w:rsid w:val="00596804"/>
    <w:rPr>
      <w:b/>
      <w:bCs/>
    </w:rPr>
  </w:style>
  <w:style w:type="character" w:customStyle="1" w:styleId="CommentSubjectChar">
    <w:name w:val="Comment Subject Char"/>
    <w:basedOn w:val="CommentTextChar"/>
    <w:link w:val="CommentSubject"/>
    <w:uiPriority w:val="99"/>
    <w:semiHidden/>
    <w:rsid w:val="00596804"/>
    <w:rPr>
      <w:rFonts w:eastAsiaTheme="minorHAnsi"/>
      <w:b/>
      <w:bCs/>
    </w:rPr>
  </w:style>
  <w:style w:type="paragraph" w:styleId="BalloonText">
    <w:name w:val="Balloon Text"/>
    <w:basedOn w:val="Normal"/>
    <w:link w:val="BalloonTextChar"/>
    <w:uiPriority w:val="99"/>
    <w:semiHidden/>
    <w:unhideWhenUsed/>
    <w:rsid w:val="00596804"/>
    <w:rPr>
      <w:rFonts w:ascii="Tahoma" w:hAnsi="Tahoma" w:cs="Tahoma"/>
      <w:sz w:val="16"/>
      <w:szCs w:val="16"/>
    </w:rPr>
  </w:style>
  <w:style w:type="character" w:customStyle="1" w:styleId="BalloonTextChar">
    <w:name w:val="Balloon Text Char"/>
    <w:basedOn w:val="DefaultParagraphFont"/>
    <w:link w:val="BalloonText"/>
    <w:uiPriority w:val="99"/>
    <w:semiHidden/>
    <w:rsid w:val="00596804"/>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A604D5"/>
    <w:rPr>
      <w:color w:val="800080" w:themeColor="followedHyperlink"/>
      <w:u w:val="single"/>
    </w:rPr>
  </w:style>
  <w:style w:type="character" w:customStyle="1" w:styleId="apple-converted-space">
    <w:name w:val="apple-converted-space"/>
    <w:basedOn w:val="DefaultParagraphFont"/>
    <w:rsid w:val="000E26DB"/>
  </w:style>
  <w:style w:type="character" w:styleId="Emphasis">
    <w:name w:val="Emphasis"/>
    <w:basedOn w:val="DefaultParagraphFont"/>
    <w:uiPriority w:val="20"/>
    <w:qFormat/>
    <w:locked/>
    <w:rsid w:val="000E26DB"/>
    <w:rPr>
      <w:i/>
      <w:iCs/>
    </w:rPr>
  </w:style>
  <w:style w:type="character" w:customStyle="1" w:styleId="Heading2Char">
    <w:name w:val="Heading 2 Char"/>
    <w:basedOn w:val="DefaultParagraphFont"/>
    <w:link w:val="Heading2"/>
    <w:semiHidden/>
    <w:rsid w:val="00310F64"/>
    <w:rPr>
      <w:rFonts w:asciiTheme="majorHAnsi" w:eastAsiaTheme="majorEastAsia" w:hAnsiTheme="majorHAnsi" w:cstheme="majorBidi"/>
      <w:b/>
      <w:bCs/>
      <w:color w:val="4F81BD" w:themeColor="accent1"/>
      <w:sz w:val="26"/>
      <w:szCs w:val="26"/>
    </w:rPr>
  </w:style>
  <w:style w:type="character" w:customStyle="1" w:styleId="Subtitle1">
    <w:name w:val="Subtitle1"/>
    <w:basedOn w:val="DefaultParagraphFont"/>
    <w:rsid w:val="00310F64"/>
  </w:style>
  <w:style w:type="paragraph" w:styleId="Header">
    <w:name w:val="header"/>
    <w:basedOn w:val="Normal"/>
    <w:link w:val="HeaderChar"/>
    <w:uiPriority w:val="99"/>
    <w:semiHidden/>
    <w:unhideWhenUsed/>
    <w:rsid w:val="002A44E4"/>
    <w:pPr>
      <w:tabs>
        <w:tab w:val="center" w:pos="4536"/>
        <w:tab w:val="right" w:pos="9072"/>
      </w:tabs>
    </w:pPr>
  </w:style>
  <w:style w:type="character" w:customStyle="1" w:styleId="HeaderChar">
    <w:name w:val="Header Char"/>
    <w:basedOn w:val="DefaultParagraphFont"/>
    <w:link w:val="Header"/>
    <w:uiPriority w:val="99"/>
    <w:semiHidden/>
    <w:rsid w:val="002A44E4"/>
    <w:rPr>
      <w:rFonts w:eastAsiaTheme="minorHAnsi"/>
      <w:sz w:val="24"/>
      <w:szCs w:val="24"/>
    </w:rPr>
  </w:style>
  <w:style w:type="paragraph" w:styleId="Footer">
    <w:name w:val="footer"/>
    <w:basedOn w:val="Normal"/>
    <w:link w:val="FooterChar"/>
    <w:uiPriority w:val="99"/>
    <w:unhideWhenUsed/>
    <w:rsid w:val="002A44E4"/>
    <w:pPr>
      <w:tabs>
        <w:tab w:val="center" w:pos="4536"/>
        <w:tab w:val="right" w:pos="9072"/>
      </w:tabs>
    </w:pPr>
  </w:style>
  <w:style w:type="character" w:customStyle="1" w:styleId="FooterChar">
    <w:name w:val="Footer Char"/>
    <w:basedOn w:val="DefaultParagraphFont"/>
    <w:link w:val="Footer"/>
    <w:uiPriority w:val="99"/>
    <w:rsid w:val="002A44E4"/>
    <w:rPr>
      <w:rFonts w:eastAsiaTheme="minorHAnsi"/>
      <w:sz w:val="24"/>
      <w:szCs w:val="24"/>
    </w:rPr>
  </w:style>
  <w:style w:type="paragraph" w:styleId="NormalWeb">
    <w:name w:val="Normal (Web)"/>
    <w:basedOn w:val="Normal"/>
    <w:uiPriority w:val="99"/>
    <w:semiHidden/>
    <w:unhideWhenUsed/>
    <w:rsid w:val="009908DB"/>
    <w:pPr>
      <w:spacing w:before="100" w:beforeAutospacing="1" w:after="100" w:afterAutospacing="1"/>
    </w:pPr>
    <w:rPr>
      <w:rFonts w:eastAsia="Times New Roman"/>
    </w:rPr>
  </w:style>
  <w:style w:type="character" w:styleId="Strong">
    <w:name w:val="Strong"/>
    <w:basedOn w:val="DefaultParagraphFont"/>
    <w:uiPriority w:val="22"/>
    <w:qFormat/>
    <w:locked/>
    <w:rsid w:val="009908DB"/>
    <w:rPr>
      <w:b/>
      <w:bCs/>
    </w:rPr>
  </w:style>
  <w:style w:type="table" w:styleId="TableGrid">
    <w:name w:val="Table Grid"/>
    <w:basedOn w:val="TableNormal"/>
    <w:uiPriority w:val="59"/>
    <w:rsid w:val="0064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pages">
    <w:name w:val="slug-pages"/>
    <w:basedOn w:val="DefaultParagraphFont"/>
    <w:rsid w:val="00645C03"/>
  </w:style>
  <w:style w:type="paragraph" w:customStyle="1" w:styleId="Default">
    <w:name w:val="Default"/>
    <w:rsid w:val="00715BC5"/>
    <w:pPr>
      <w:autoSpaceDE w:val="0"/>
      <w:autoSpaceDN w:val="0"/>
      <w:adjustRightInd w:val="0"/>
    </w:pPr>
    <w:rPr>
      <w:rFonts w:ascii="Verdana" w:eastAsiaTheme="minorHAnsi"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9C"/>
    <w:rPr>
      <w:rFonts w:eastAsiaTheme="minorHAnsi"/>
      <w:sz w:val="24"/>
      <w:szCs w:val="24"/>
    </w:rPr>
  </w:style>
  <w:style w:type="paragraph" w:styleId="Heading1">
    <w:name w:val="heading 1"/>
    <w:basedOn w:val="Normal"/>
    <w:link w:val="Heading1Char"/>
    <w:uiPriority w:val="9"/>
    <w:qFormat/>
    <w:rsid w:val="002D1286"/>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locked/>
    <w:rsid w:val="00310F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70689"/>
    <w:rPr>
      <w:rFonts w:eastAsia="Times New Roman"/>
      <w:b/>
      <w:bCs/>
      <w:sz w:val="20"/>
      <w:szCs w:val="20"/>
      <w:lang w:val="en-US" w:eastAsia="en-US"/>
    </w:rPr>
  </w:style>
  <w:style w:type="paragraph" w:customStyle="1" w:styleId="Cmsor11">
    <w:name w:val="Címsor 11"/>
    <w:qFormat/>
    <w:rsid w:val="00670689"/>
    <w:pPr>
      <w:keepNext/>
      <w:outlineLvl w:val="0"/>
    </w:pPr>
    <w:rPr>
      <w:rFonts w:ascii="Helvetica" w:eastAsia="Arial Unicode MS" w:hAnsi="Helvetica"/>
      <w:b/>
      <w:color w:val="000000"/>
      <w:sz w:val="36"/>
    </w:rPr>
  </w:style>
  <w:style w:type="paragraph" w:styleId="FootnoteText">
    <w:name w:val="footnote text"/>
    <w:basedOn w:val="Normal"/>
    <w:link w:val="FootnoteTextChar"/>
    <w:semiHidden/>
    <w:rsid w:val="0025799C"/>
    <w:rPr>
      <w:rFonts w:ascii="Calibri" w:eastAsia="Times New Roman" w:hAnsi="Calibri"/>
      <w:sz w:val="20"/>
      <w:szCs w:val="20"/>
      <w:lang w:eastAsia="en-US"/>
    </w:rPr>
  </w:style>
  <w:style w:type="character" w:customStyle="1" w:styleId="FootnoteTextChar">
    <w:name w:val="Footnote Text Char"/>
    <w:basedOn w:val="DefaultParagraphFont"/>
    <w:link w:val="FootnoteText"/>
    <w:uiPriority w:val="99"/>
    <w:semiHidden/>
    <w:rsid w:val="0025799C"/>
    <w:rPr>
      <w:rFonts w:ascii="Calibri" w:hAnsi="Calibri"/>
      <w:lang w:eastAsia="en-US"/>
    </w:rPr>
  </w:style>
  <w:style w:type="character" w:styleId="FootnoteReference">
    <w:name w:val="footnote reference"/>
    <w:basedOn w:val="DefaultParagraphFont"/>
    <w:semiHidden/>
    <w:rsid w:val="0025799C"/>
    <w:rPr>
      <w:rFonts w:cs="Times New Roman"/>
      <w:vertAlign w:val="superscript"/>
    </w:rPr>
  </w:style>
  <w:style w:type="character" w:styleId="Hyperlink">
    <w:name w:val="Hyperlink"/>
    <w:basedOn w:val="DefaultParagraphFont"/>
    <w:uiPriority w:val="99"/>
    <w:rsid w:val="0025799C"/>
    <w:rPr>
      <w:rFonts w:cs="Times New Roman"/>
      <w:color w:val="0000FF"/>
      <w:u w:val="single"/>
    </w:rPr>
  </w:style>
  <w:style w:type="paragraph" w:styleId="ListParagraph">
    <w:name w:val="List Paragraph"/>
    <w:basedOn w:val="Normal"/>
    <w:uiPriority w:val="34"/>
    <w:qFormat/>
    <w:rsid w:val="0074632B"/>
    <w:pPr>
      <w:ind w:left="720"/>
      <w:contextualSpacing/>
    </w:pPr>
  </w:style>
  <w:style w:type="character" w:customStyle="1" w:styleId="longtext1">
    <w:name w:val="long_text1"/>
    <w:basedOn w:val="DefaultParagraphFont"/>
    <w:rsid w:val="008B266F"/>
    <w:rPr>
      <w:rFonts w:cs="Times New Roman"/>
      <w:sz w:val="20"/>
      <w:szCs w:val="20"/>
    </w:rPr>
  </w:style>
  <w:style w:type="paragraph" w:styleId="Title">
    <w:name w:val="Title"/>
    <w:basedOn w:val="Normal"/>
    <w:next w:val="Normal"/>
    <w:link w:val="TitleChar"/>
    <w:qFormat/>
    <w:locked/>
    <w:rsid w:val="008B266F"/>
    <w:pPr>
      <w:widowControl w:val="0"/>
      <w:suppressAutoHyphens/>
      <w:jc w:val="center"/>
    </w:pPr>
    <w:rPr>
      <w:rFonts w:ascii="Liberation Serif" w:eastAsia="DejaVu Sans" w:hAnsi="Liberation Serif" w:cs="DejaVu Sans"/>
      <w:b/>
      <w:bCs/>
      <w:kern w:val="1"/>
      <w:lang w:val="en-US" w:eastAsia="hi-IN" w:bidi="hi-IN"/>
    </w:rPr>
  </w:style>
  <w:style w:type="character" w:customStyle="1" w:styleId="TitleChar">
    <w:name w:val="Title Char"/>
    <w:basedOn w:val="DefaultParagraphFont"/>
    <w:link w:val="Title"/>
    <w:rsid w:val="008B266F"/>
    <w:rPr>
      <w:rFonts w:ascii="Liberation Serif" w:eastAsia="DejaVu Sans" w:hAnsi="Liberation Serif" w:cs="DejaVu Sans"/>
      <w:b/>
      <w:bCs/>
      <w:kern w:val="1"/>
      <w:sz w:val="24"/>
      <w:szCs w:val="24"/>
      <w:lang w:val="en-US" w:eastAsia="hi-IN" w:bidi="hi-IN"/>
    </w:rPr>
  </w:style>
  <w:style w:type="paragraph" w:styleId="Subtitle">
    <w:name w:val="Subtitle"/>
    <w:basedOn w:val="Normal"/>
    <w:next w:val="Normal"/>
    <w:link w:val="SubtitleChar"/>
    <w:qFormat/>
    <w:locked/>
    <w:rsid w:val="008B266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B266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D1286"/>
    <w:rPr>
      <w:b/>
      <w:bCs/>
      <w:kern w:val="36"/>
      <w:sz w:val="48"/>
      <w:szCs w:val="48"/>
    </w:rPr>
  </w:style>
  <w:style w:type="character" w:styleId="CommentReference">
    <w:name w:val="annotation reference"/>
    <w:basedOn w:val="DefaultParagraphFont"/>
    <w:uiPriority w:val="99"/>
    <w:semiHidden/>
    <w:unhideWhenUsed/>
    <w:rsid w:val="00596804"/>
    <w:rPr>
      <w:sz w:val="16"/>
      <w:szCs w:val="16"/>
    </w:rPr>
  </w:style>
  <w:style w:type="paragraph" w:styleId="CommentText">
    <w:name w:val="annotation text"/>
    <w:basedOn w:val="Normal"/>
    <w:link w:val="CommentTextChar"/>
    <w:uiPriority w:val="99"/>
    <w:semiHidden/>
    <w:unhideWhenUsed/>
    <w:rsid w:val="00596804"/>
    <w:rPr>
      <w:sz w:val="20"/>
      <w:szCs w:val="20"/>
    </w:rPr>
  </w:style>
  <w:style w:type="character" w:customStyle="1" w:styleId="CommentTextChar">
    <w:name w:val="Comment Text Char"/>
    <w:basedOn w:val="DefaultParagraphFont"/>
    <w:link w:val="CommentText"/>
    <w:uiPriority w:val="99"/>
    <w:semiHidden/>
    <w:rsid w:val="00596804"/>
    <w:rPr>
      <w:rFonts w:eastAsiaTheme="minorHAnsi"/>
    </w:rPr>
  </w:style>
  <w:style w:type="paragraph" w:styleId="CommentSubject">
    <w:name w:val="annotation subject"/>
    <w:basedOn w:val="CommentText"/>
    <w:next w:val="CommentText"/>
    <w:link w:val="CommentSubjectChar"/>
    <w:uiPriority w:val="99"/>
    <w:semiHidden/>
    <w:unhideWhenUsed/>
    <w:rsid w:val="00596804"/>
    <w:rPr>
      <w:b/>
      <w:bCs/>
    </w:rPr>
  </w:style>
  <w:style w:type="character" w:customStyle="1" w:styleId="CommentSubjectChar">
    <w:name w:val="Comment Subject Char"/>
    <w:basedOn w:val="CommentTextChar"/>
    <w:link w:val="CommentSubject"/>
    <w:uiPriority w:val="99"/>
    <w:semiHidden/>
    <w:rsid w:val="00596804"/>
    <w:rPr>
      <w:rFonts w:eastAsiaTheme="minorHAnsi"/>
      <w:b/>
      <w:bCs/>
    </w:rPr>
  </w:style>
  <w:style w:type="paragraph" w:styleId="BalloonText">
    <w:name w:val="Balloon Text"/>
    <w:basedOn w:val="Normal"/>
    <w:link w:val="BalloonTextChar"/>
    <w:uiPriority w:val="99"/>
    <w:semiHidden/>
    <w:unhideWhenUsed/>
    <w:rsid w:val="00596804"/>
    <w:rPr>
      <w:rFonts w:ascii="Tahoma" w:hAnsi="Tahoma" w:cs="Tahoma"/>
      <w:sz w:val="16"/>
      <w:szCs w:val="16"/>
    </w:rPr>
  </w:style>
  <w:style w:type="character" w:customStyle="1" w:styleId="BalloonTextChar">
    <w:name w:val="Balloon Text Char"/>
    <w:basedOn w:val="DefaultParagraphFont"/>
    <w:link w:val="BalloonText"/>
    <w:uiPriority w:val="99"/>
    <w:semiHidden/>
    <w:rsid w:val="00596804"/>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A604D5"/>
    <w:rPr>
      <w:color w:val="800080" w:themeColor="followedHyperlink"/>
      <w:u w:val="single"/>
    </w:rPr>
  </w:style>
  <w:style w:type="character" w:customStyle="1" w:styleId="apple-converted-space">
    <w:name w:val="apple-converted-space"/>
    <w:basedOn w:val="DefaultParagraphFont"/>
    <w:rsid w:val="000E26DB"/>
  </w:style>
  <w:style w:type="character" w:styleId="Emphasis">
    <w:name w:val="Emphasis"/>
    <w:basedOn w:val="DefaultParagraphFont"/>
    <w:uiPriority w:val="20"/>
    <w:qFormat/>
    <w:locked/>
    <w:rsid w:val="000E26DB"/>
    <w:rPr>
      <w:i/>
      <w:iCs/>
    </w:rPr>
  </w:style>
  <w:style w:type="character" w:customStyle="1" w:styleId="Heading2Char">
    <w:name w:val="Heading 2 Char"/>
    <w:basedOn w:val="DefaultParagraphFont"/>
    <w:link w:val="Heading2"/>
    <w:semiHidden/>
    <w:rsid w:val="00310F64"/>
    <w:rPr>
      <w:rFonts w:asciiTheme="majorHAnsi" w:eastAsiaTheme="majorEastAsia" w:hAnsiTheme="majorHAnsi" w:cstheme="majorBidi"/>
      <w:b/>
      <w:bCs/>
      <w:color w:val="4F81BD" w:themeColor="accent1"/>
      <w:sz w:val="26"/>
      <w:szCs w:val="26"/>
    </w:rPr>
  </w:style>
  <w:style w:type="character" w:customStyle="1" w:styleId="Subtitle1">
    <w:name w:val="Subtitle1"/>
    <w:basedOn w:val="DefaultParagraphFont"/>
    <w:rsid w:val="00310F64"/>
  </w:style>
  <w:style w:type="paragraph" w:styleId="Header">
    <w:name w:val="header"/>
    <w:basedOn w:val="Normal"/>
    <w:link w:val="HeaderChar"/>
    <w:uiPriority w:val="99"/>
    <w:semiHidden/>
    <w:unhideWhenUsed/>
    <w:rsid w:val="002A44E4"/>
    <w:pPr>
      <w:tabs>
        <w:tab w:val="center" w:pos="4536"/>
        <w:tab w:val="right" w:pos="9072"/>
      </w:tabs>
    </w:pPr>
  </w:style>
  <w:style w:type="character" w:customStyle="1" w:styleId="HeaderChar">
    <w:name w:val="Header Char"/>
    <w:basedOn w:val="DefaultParagraphFont"/>
    <w:link w:val="Header"/>
    <w:uiPriority w:val="99"/>
    <w:semiHidden/>
    <w:rsid w:val="002A44E4"/>
    <w:rPr>
      <w:rFonts w:eastAsiaTheme="minorHAnsi"/>
      <w:sz w:val="24"/>
      <w:szCs w:val="24"/>
    </w:rPr>
  </w:style>
  <w:style w:type="paragraph" w:styleId="Footer">
    <w:name w:val="footer"/>
    <w:basedOn w:val="Normal"/>
    <w:link w:val="FooterChar"/>
    <w:uiPriority w:val="99"/>
    <w:unhideWhenUsed/>
    <w:rsid w:val="002A44E4"/>
    <w:pPr>
      <w:tabs>
        <w:tab w:val="center" w:pos="4536"/>
        <w:tab w:val="right" w:pos="9072"/>
      </w:tabs>
    </w:pPr>
  </w:style>
  <w:style w:type="character" w:customStyle="1" w:styleId="FooterChar">
    <w:name w:val="Footer Char"/>
    <w:basedOn w:val="DefaultParagraphFont"/>
    <w:link w:val="Footer"/>
    <w:uiPriority w:val="99"/>
    <w:rsid w:val="002A44E4"/>
    <w:rPr>
      <w:rFonts w:eastAsiaTheme="minorHAnsi"/>
      <w:sz w:val="24"/>
      <w:szCs w:val="24"/>
    </w:rPr>
  </w:style>
  <w:style w:type="paragraph" w:styleId="NormalWeb">
    <w:name w:val="Normal (Web)"/>
    <w:basedOn w:val="Normal"/>
    <w:uiPriority w:val="99"/>
    <w:semiHidden/>
    <w:unhideWhenUsed/>
    <w:rsid w:val="009908DB"/>
    <w:pPr>
      <w:spacing w:before="100" w:beforeAutospacing="1" w:after="100" w:afterAutospacing="1"/>
    </w:pPr>
    <w:rPr>
      <w:rFonts w:eastAsia="Times New Roman"/>
    </w:rPr>
  </w:style>
  <w:style w:type="character" w:styleId="Strong">
    <w:name w:val="Strong"/>
    <w:basedOn w:val="DefaultParagraphFont"/>
    <w:uiPriority w:val="22"/>
    <w:qFormat/>
    <w:locked/>
    <w:rsid w:val="009908DB"/>
    <w:rPr>
      <w:b/>
      <w:bCs/>
    </w:rPr>
  </w:style>
  <w:style w:type="table" w:styleId="TableGrid">
    <w:name w:val="Table Grid"/>
    <w:basedOn w:val="TableNormal"/>
    <w:uiPriority w:val="59"/>
    <w:rsid w:val="0064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pages">
    <w:name w:val="slug-pages"/>
    <w:basedOn w:val="DefaultParagraphFont"/>
    <w:rsid w:val="00645C03"/>
  </w:style>
  <w:style w:type="paragraph" w:customStyle="1" w:styleId="Default">
    <w:name w:val="Default"/>
    <w:rsid w:val="00715BC5"/>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5118">
      <w:bodyDiv w:val="1"/>
      <w:marLeft w:val="0"/>
      <w:marRight w:val="0"/>
      <w:marTop w:val="0"/>
      <w:marBottom w:val="0"/>
      <w:divBdr>
        <w:top w:val="none" w:sz="0" w:space="0" w:color="auto"/>
        <w:left w:val="none" w:sz="0" w:space="0" w:color="auto"/>
        <w:bottom w:val="none" w:sz="0" w:space="0" w:color="auto"/>
        <w:right w:val="none" w:sz="0" w:space="0" w:color="auto"/>
      </w:divBdr>
    </w:div>
    <w:div w:id="131756405">
      <w:bodyDiv w:val="1"/>
      <w:marLeft w:val="0"/>
      <w:marRight w:val="0"/>
      <w:marTop w:val="0"/>
      <w:marBottom w:val="0"/>
      <w:divBdr>
        <w:top w:val="none" w:sz="0" w:space="0" w:color="auto"/>
        <w:left w:val="none" w:sz="0" w:space="0" w:color="auto"/>
        <w:bottom w:val="none" w:sz="0" w:space="0" w:color="auto"/>
        <w:right w:val="none" w:sz="0" w:space="0" w:color="auto"/>
      </w:divBdr>
      <w:divsChild>
        <w:div w:id="2010907072">
          <w:marLeft w:val="0"/>
          <w:marRight w:val="0"/>
          <w:marTop w:val="0"/>
          <w:marBottom w:val="0"/>
          <w:divBdr>
            <w:top w:val="none" w:sz="0" w:space="0" w:color="auto"/>
            <w:left w:val="none" w:sz="0" w:space="0" w:color="auto"/>
            <w:bottom w:val="none" w:sz="0" w:space="0" w:color="auto"/>
            <w:right w:val="none" w:sz="0" w:space="0" w:color="auto"/>
          </w:divBdr>
        </w:div>
        <w:div w:id="415203171">
          <w:marLeft w:val="0"/>
          <w:marRight w:val="0"/>
          <w:marTop w:val="0"/>
          <w:marBottom w:val="0"/>
          <w:divBdr>
            <w:top w:val="none" w:sz="0" w:space="0" w:color="auto"/>
            <w:left w:val="none" w:sz="0" w:space="0" w:color="auto"/>
            <w:bottom w:val="none" w:sz="0" w:space="0" w:color="auto"/>
            <w:right w:val="none" w:sz="0" w:space="0" w:color="auto"/>
          </w:divBdr>
        </w:div>
        <w:div w:id="864639283">
          <w:marLeft w:val="0"/>
          <w:marRight w:val="0"/>
          <w:marTop w:val="0"/>
          <w:marBottom w:val="0"/>
          <w:divBdr>
            <w:top w:val="none" w:sz="0" w:space="0" w:color="auto"/>
            <w:left w:val="none" w:sz="0" w:space="0" w:color="auto"/>
            <w:bottom w:val="none" w:sz="0" w:space="0" w:color="auto"/>
            <w:right w:val="none" w:sz="0" w:space="0" w:color="auto"/>
          </w:divBdr>
        </w:div>
        <w:div w:id="216554586">
          <w:marLeft w:val="0"/>
          <w:marRight w:val="0"/>
          <w:marTop w:val="0"/>
          <w:marBottom w:val="0"/>
          <w:divBdr>
            <w:top w:val="none" w:sz="0" w:space="0" w:color="auto"/>
            <w:left w:val="none" w:sz="0" w:space="0" w:color="auto"/>
            <w:bottom w:val="none" w:sz="0" w:space="0" w:color="auto"/>
            <w:right w:val="none" w:sz="0" w:space="0" w:color="auto"/>
          </w:divBdr>
        </w:div>
      </w:divsChild>
    </w:div>
    <w:div w:id="173616513">
      <w:bodyDiv w:val="1"/>
      <w:marLeft w:val="0"/>
      <w:marRight w:val="0"/>
      <w:marTop w:val="0"/>
      <w:marBottom w:val="0"/>
      <w:divBdr>
        <w:top w:val="none" w:sz="0" w:space="0" w:color="auto"/>
        <w:left w:val="none" w:sz="0" w:space="0" w:color="auto"/>
        <w:bottom w:val="none" w:sz="0" w:space="0" w:color="auto"/>
        <w:right w:val="none" w:sz="0" w:space="0" w:color="auto"/>
      </w:divBdr>
      <w:divsChild>
        <w:div w:id="709037503">
          <w:marLeft w:val="0"/>
          <w:marRight w:val="0"/>
          <w:marTop w:val="0"/>
          <w:marBottom w:val="0"/>
          <w:divBdr>
            <w:top w:val="none" w:sz="0" w:space="0" w:color="auto"/>
            <w:left w:val="none" w:sz="0" w:space="0" w:color="auto"/>
            <w:bottom w:val="none" w:sz="0" w:space="0" w:color="auto"/>
            <w:right w:val="none" w:sz="0" w:space="0" w:color="auto"/>
          </w:divBdr>
        </w:div>
        <w:div w:id="1828669041">
          <w:marLeft w:val="0"/>
          <w:marRight w:val="0"/>
          <w:marTop w:val="0"/>
          <w:marBottom w:val="0"/>
          <w:divBdr>
            <w:top w:val="none" w:sz="0" w:space="0" w:color="auto"/>
            <w:left w:val="none" w:sz="0" w:space="0" w:color="auto"/>
            <w:bottom w:val="none" w:sz="0" w:space="0" w:color="auto"/>
            <w:right w:val="none" w:sz="0" w:space="0" w:color="auto"/>
          </w:divBdr>
        </w:div>
      </w:divsChild>
    </w:div>
    <w:div w:id="304360615">
      <w:bodyDiv w:val="1"/>
      <w:marLeft w:val="0"/>
      <w:marRight w:val="0"/>
      <w:marTop w:val="0"/>
      <w:marBottom w:val="0"/>
      <w:divBdr>
        <w:top w:val="none" w:sz="0" w:space="0" w:color="auto"/>
        <w:left w:val="none" w:sz="0" w:space="0" w:color="auto"/>
        <w:bottom w:val="none" w:sz="0" w:space="0" w:color="auto"/>
        <w:right w:val="none" w:sz="0" w:space="0" w:color="auto"/>
      </w:divBdr>
      <w:divsChild>
        <w:div w:id="750270387">
          <w:marLeft w:val="0"/>
          <w:marRight w:val="0"/>
          <w:marTop w:val="0"/>
          <w:marBottom w:val="0"/>
          <w:divBdr>
            <w:top w:val="none" w:sz="0" w:space="0" w:color="auto"/>
            <w:left w:val="none" w:sz="0" w:space="0" w:color="auto"/>
            <w:bottom w:val="none" w:sz="0" w:space="0" w:color="auto"/>
            <w:right w:val="none" w:sz="0" w:space="0" w:color="auto"/>
          </w:divBdr>
        </w:div>
        <w:div w:id="1676347845">
          <w:marLeft w:val="0"/>
          <w:marRight w:val="0"/>
          <w:marTop w:val="0"/>
          <w:marBottom w:val="0"/>
          <w:divBdr>
            <w:top w:val="none" w:sz="0" w:space="0" w:color="auto"/>
            <w:left w:val="none" w:sz="0" w:space="0" w:color="auto"/>
            <w:bottom w:val="none" w:sz="0" w:space="0" w:color="auto"/>
            <w:right w:val="none" w:sz="0" w:space="0" w:color="auto"/>
          </w:divBdr>
        </w:div>
        <w:div w:id="1629244710">
          <w:marLeft w:val="0"/>
          <w:marRight w:val="0"/>
          <w:marTop w:val="0"/>
          <w:marBottom w:val="0"/>
          <w:divBdr>
            <w:top w:val="none" w:sz="0" w:space="0" w:color="auto"/>
            <w:left w:val="none" w:sz="0" w:space="0" w:color="auto"/>
            <w:bottom w:val="none" w:sz="0" w:space="0" w:color="auto"/>
            <w:right w:val="none" w:sz="0" w:space="0" w:color="auto"/>
          </w:divBdr>
        </w:div>
        <w:div w:id="1349209404">
          <w:marLeft w:val="0"/>
          <w:marRight w:val="0"/>
          <w:marTop w:val="0"/>
          <w:marBottom w:val="0"/>
          <w:divBdr>
            <w:top w:val="none" w:sz="0" w:space="0" w:color="auto"/>
            <w:left w:val="none" w:sz="0" w:space="0" w:color="auto"/>
            <w:bottom w:val="none" w:sz="0" w:space="0" w:color="auto"/>
            <w:right w:val="none" w:sz="0" w:space="0" w:color="auto"/>
          </w:divBdr>
        </w:div>
      </w:divsChild>
    </w:div>
    <w:div w:id="484009875">
      <w:bodyDiv w:val="1"/>
      <w:marLeft w:val="0"/>
      <w:marRight w:val="0"/>
      <w:marTop w:val="0"/>
      <w:marBottom w:val="0"/>
      <w:divBdr>
        <w:top w:val="none" w:sz="0" w:space="0" w:color="auto"/>
        <w:left w:val="none" w:sz="0" w:space="0" w:color="auto"/>
        <w:bottom w:val="none" w:sz="0" w:space="0" w:color="auto"/>
        <w:right w:val="none" w:sz="0" w:space="0" w:color="auto"/>
      </w:divBdr>
      <w:divsChild>
        <w:div w:id="1852602826">
          <w:marLeft w:val="0"/>
          <w:marRight w:val="0"/>
          <w:marTop w:val="0"/>
          <w:marBottom w:val="0"/>
          <w:divBdr>
            <w:top w:val="none" w:sz="0" w:space="0" w:color="auto"/>
            <w:left w:val="none" w:sz="0" w:space="0" w:color="auto"/>
            <w:bottom w:val="none" w:sz="0" w:space="0" w:color="auto"/>
            <w:right w:val="none" w:sz="0" w:space="0" w:color="auto"/>
          </w:divBdr>
        </w:div>
        <w:div w:id="1930195616">
          <w:marLeft w:val="0"/>
          <w:marRight w:val="0"/>
          <w:marTop w:val="0"/>
          <w:marBottom w:val="0"/>
          <w:divBdr>
            <w:top w:val="none" w:sz="0" w:space="0" w:color="auto"/>
            <w:left w:val="none" w:sz="0" w:space="0" w:color="auto"/>
            <w:bottom w:val="none" w:sz="0" w:space="0" w:color="auto"/>
            <w:right w:val="none" w:sz="0" w:space="0" w:color="auto"/>
          </w:divBdr>
        </w:div>
      </w:divsChild>
    </w:div>
    <w:div w:id="587542988">
      <w:bodyDiv w:val="1"/>
      <w:marLeft w:val="0"/>
      <w:marRight w:val="0"/>
      <w:marTop w:val="0"/>
      <w:marBottom w:val="0"/>
      <w:divBdr>
        <w:top w:val="none" w:sz="0" w:space="0" w:color="auto"/>
        <w:left w:val="none" w:sz="0" w:space="0" w:color="auto"/>
        <w:bottom w:val="none" w:sz="0" w:space="0" w:color="auto"/>
        <w:right w:val="none" w:sz="0" w:space="0" w:color="auto"/>
      </w:divBdr>
      <w:divsChild>
        <w:div w:id="1360930448">
          <w:marLeft w:val="0"/>
          <w:marRight w:val="0"/>
          <w:marTop w:val="0"/>
          <w:marBottom w:val="0"/>
          <w:divBdr>
            <w:top w:val="none" w:sz="0" w:space="0" w:color="auto"/>
            <w:left w:val="none" w:sz="0" w:space="0" w:color="auto"/>
            <w:bottom w:val="none" w:sz="0" w:space="0" w:color="auto"/>
            <w:right w:val="none" w:sz="0" w:space="0" w:color="auto"/>
          </w:divBdr>
        </w:div>
        <w:div w:id="18092396">
          <w:marLeft w:val="0"/>
          <w:marRight w:val="0"/>
          <w:marTop w:val="0"/>
          <w:marBottom w:val="0"/>
          <w:divBdr>
            <w:top w:val="none" w:sz="0" w:space="0" w:color="auto"/>
            <w:left w:val="none" w:sz="0" w:space="0" w:color="auto"/>
            <w:bottom w:val="none" w:sz="0" w:space="0" w:color="auto"/>
            <w:right w:val="none" w:sz="0" w:space="0" w:color="auto"/>
          </w:divBdr>
        </w:div>
        <w:div w:id="1609851375">
          <w:marLeft w:val="0"/>
          <w:marRight w:val="0"/>
          <w:marTop w:val="0"/>
          <w:marBottom w:val="0"/>
          <w:divBdr>
            <w:top w:val="none" w:sz="0" w:space="0" w:color="auto"/>
            <w:left w:val="none" w:sz="0" w:space="0" w:color="auto"/>
            <w:bottom w:val="none" w:sz="0" w:space="0" w:color="auto"/>
            <w:right w:val="none" w:sz="0" w:space="0" w:color="auto"/>
          </w:divBdr>
        </w:div>
      </w:divsChild>
    </w:div>
    <w:div w:id="669143863">
      <w:bodyDiv w:val="1"/>
      <w:marLeft w:val="0"/>
      <w:marRight w:val="0"/>
      <w:marTop w:val="0"/>
      <w:marBottom w:val="0"/>
      <w:divBdr>
        <w:top w:val="none" w:sz="0" w:space="0" w:color="auto"/>
        <w:left w:val="none" w:sz="0" w:space="0" w:color="auto"/>
        <w:bottom w:val="none" w:sz="0" w:space="0" w:color="auto"/>
        <w:right w:val="none" w:sz="0" w:space="0" w:color="auto"/>
      </w:divBdr>
      <w:divsChild>
        <w:div w:id="1540436904">
          <w:marLeft w:val="0"/>
          <w:marRight w:val="0"/>
          <w:marTop w:val="0"/>
          <w:marBottom w:val="0"/>
          <w:divBdr>
            <w:top w:val="none" w:sz="0" w:space="0" w:color="auto"/>
            <w:left w:val="none" w:sz="0" w:space="0" w:color="auto"/>
            <w:bottom w:val="none" w:sz="0" w:space="0" w:color="auto"/>
            <w:right w:val="none" w:sz="0" w:space="0" w:color="auto"/>
          </w:divBdr>
        </w:div>
        <w:div w:id="1438259471">
          <w:marLeft w:val="0"/>
          <w:marRight w:val="0"/>
          <w:marTop w:val="0"/>
          <w:marBottom w:val="0"/>
          <w:divBdr>
            <w:top w:val="none" w:sz="0" w:space="0" w:color="auto"/>
            <w:left w:val="none" w:sz="0" w:space="0" w:color="auto"/>
            <w:bottom w:val="none" w:sz="0" w:space="0" w:color="auto"/>
            <w:right w:val="none" w:sz="0" w:space="0" w:color="auto"/>
          </w:divBdr>
        </w:div>
        <w:div w:id="1665159912">
          <w:marLeft w:val="0"/>
          <w:marRight w:val="0"/>
          <w:marTop w:val="0"/>
          <w:marBottom w:val="0"/>
          <w:divBdr>
            <w:top w:val="none" w:sz="0" w:space="0" w:color="auto"/>
            <w:left w:val="none" w:sz="0" w:space="0" w:color="auto"/>
            <w:bottom w:val="none" w:sz="0" w:space="0" w:color="auto"/>
            <w:right w:val="none" w:sz="0" w:space="0" w:color="auto"/>
          </w:divBdr>
        </w:div>
      </w:divsChild>
    </w:div>
    <w:div w:id="904145675">
      <w:bodyDiv w:val="1"/>
      <w:marLeft w:val="0"/>
      <w:marRight w:val="0"/>
      <w:marTop w:val="0"/>
      <w:marBottom w:val="0"/>
      <w:divBdr>
        <w:top w:val="none" w:sz="0" w:space="0" w:color="auto"/>
        <w:left w:val="none" w:sz="0" w:space="0" w:color="auto"/>
        <w:bottom w:val="none" w:sz="0" w:space="0" w:color="auto"/>
        <w:right w:val="none" w:sz="0" w:space="0" w:color="auto"/>
      </w:divBdr>
      <w:divsChild>
        <w:div w:id="546334858">
          <w:marLeft w:val="0"/>
          <w:marRight w:val="0"/>
          <w:marTop w:val="0"/>
          <w:marBottom w:val="0"/>
          <w:divBdr>
            <w:top w:val="none" w:sz="0" w:space="0" w:color="auto"/>
            <w:left w:val="none" w:sz="0" w:space="0" w:color="auto"/>
            <w:bottom w:val="none" w:sz="0" w:space="0" w:color="auto"/>
            <w:right w:val="none" w:sz="0" w:space="0" w:color="auto"/>
          </w:divBdr>
        </w:div>
        <w:div w:id="603340024">
          <w:marLeft w:val="0"/>
          <w:marRight w:val="0"/>
          <w:marTop w:val="0"/>
          <w:marBottom w:val="0"/>
          <w:divBdr>
            <w:top w:val="none" w:sz="0" w:space="0" w:color="auto"/>
            <w:left w:val="none" w:sz="0" w:space="0" w:color="auto"/>
            <w:bottom w:val="none" w:sz="0" w:space="0" w:color="auto"/>
            <w:right w:val="none" w:sz="0" w:space="0" w:color="auto"/>
          </w:divBdr>
        </w:div>
        <w:div w:id="219249364">
          <w:marLeft w:val="0"/>
          <w:marRight w:val="0"/>
          <w:marTop w:val="0"/>
          <w:marBottom w:val="0"/>
          <w:divBdr>
            <w:top w:val="none" w:sz="0" w:space="0" w:color="auto"/>
            <w:left w:val="none" w:sz="0" w:space="0" w:color="auto"/>
            <w:bottom w:val="none" w:sz="0" w:space="0" w:color="auto"/>
            <w:right w:val="none" w:sz="0" w:space="0" w:color="auto"/>
          </w:divBdr>
        </w:div>
        <w:div w:id="1390228141">
          <w:marLeft w:val="0"/>
          <w:marRight w:val="0"/>
          <w:marTop w:val="0"/>
          <w:marBottom w:val="0"/>
          <w:divBdr>
            <w:top w:val="none" w:sz="0" w:space="0" w:color="auto"/>
            <w:left w:val="none" w:sz="0" w:space="0" w:color="auto"/>
            <w:bottom w:val="none" w:sz="0" w:space="0" w:color="auto"/>
            <w:right w:val="none" w:sz="0" w:space="0" w:color="auto"/>
          </w:divBdr>
        </w:div>
        <w:div w:id="1015183183">
          <w:marLeft w:val="0"/>
          <w:marRight w:val="0"/>
          <w:marTop w:val="0"/>
          <w:marBottom w:val="0"/>
          <w:divBdr>
            <w:top w:val="none" w:sz="0" w:space="0" w:color="auto"/>
            <w:left w:val="none" w:sz="0" w:space="0" w:color="auto"/>
            <w:bottom w:val="none" w:sz="0" w:space="0" w:color="auto"/>
            <w:right w:val="none" w:sz="0" w:space="0" w:color="auto"/>
          </w:divBdr>
        </w:div>
      </w:divsChild>
    </w:div>
    <w:div w:id="997029225">
      <w:bodyDiv w:val="1"/>
      <w:marLeft w:val="0"/>
      <w:marRight w:val="0"/>
      <w:marTop w:val="0"/>
      <w:marBottom w:val="0"/>
      <w:divBdr>
        <w:top w:val="none" w:sz="0" w:space="0" w:color="auto"/>
        <w:left w:val="none" w:sz="0" w:space="0" w:color="auto"/>
        <w:bottom w:val="none" w:sz="0" w:space="0" w:color="auto"/>
        <w:right w:val="none" w:sz="0" w:space="0" w:color="auto"/>
      </w:divBdr>
    </w:div>
    <w:div w:id="1232540161">
      <w:bodyDiv w:val="1"/>
      <w:marLeft w:val="0"/>
      <w:marRight w:val="0"/>
      <w:marTop w:val="0"/>
      <w:marBottom w:val="0"/>
      <w:divBdr>
        <w:top w:val="none" w:sz="0" w:space="0" w:color="auto"/>
        <w:left w:val="none" w:sz="0" w:space="0" w:color="auto"/>
        <w:bottom w:val="none" w:sz="0" w:space="0" w:color="auto"/>
        <w:right w:val="none" w:sz="0" w:space="0" w:color="auto"/>
      </w:divBdr>
      <w:divsChild>
        <w:div w:id="1720784425">
          <w:marLeft w:val="0"/>
          <w:marRight w:val="0"/>
          <w:marTop w:val="0"/>
          <w:marBottom w:val="0"/>
          <w:divBdr>
            <w:top w:val="none" w:sz="0" w:space="0" w:color="auto"/>
            <w:left w:val="none" w:sz="0" w:space="0" w:color="auto"/>
            <w:bottom w:val="none" w:sz="0" w:space="0" w:color="auto"/>
            <w:right w:val="none" w:sz="0" w:space="0" w:color="auto"/>
          </w:divBdr>
        </w:div>
        <w:div w:id="1062294857">
          <w:marLeft w:val="0"/>
          <w:marRight w:val="0"/>
          <w:marTop w:val="0"/>
          <w:marBottom w:val="0"/>
          <w:divBdr>
            <w:top w:val="none" w:sz="0" w:space="0" w:color="auto"/>
            <w:left w:val="none" w:sz="0" w:space="0" w:color="auto"/>
            <w:bottom w:val="none" w:sz="0" w:space="0" w:color="auto"/>
            <w:right w:val="none" w:sz="0" w:space="0" w:color="auto"/>
          </w:divBdr>
        </w:div>
        <w:div w:id="1633320852">
          <w:marLeft w:val="0"/>
          <w:marRight w:val="0"/>
          <w:marTop w:val="0"/>
          <w:marBottom w:val="0"/>
          <w:divBdr>
            <w:top w:val="none" w:sz="0" w:space="0" w:color="auto"/>
            <w:left w:val="none" w:sz="0" w:space="0" w:color="auto"/>
            <w:bottom w:val="none" w:sz="0" w:space="0" w:color="auto"/>
            <w:right w:val="none" w:sz="0" w:space="0" w:color="auto"/>
          </w:divBdr>
        </w:div>
        <w:div w:id="140388636">
          <w:marLeft w:val="0"/>
          <w:marRight w:val="0"/>
          <w:marTop w:val="0"/>
          <w:marBottom w:val="0"/>
          <w:divBdr>
            <w:top w:val="none" w:sz="0" w:space="0" w:color="auto"/>
            <w:left w:val="none" w:sz="0" w:space="0" w:color="auto"/>
            <w:bottom w:val="none" w:sz="0" w:space="0" w:color="auto"/>
            <w:right w:val="none" w:sz="0" w:space="0" w:color="auto"/>
          </w:divBdr>
        </w:div>
        <w:div w:id="422728948">
          <w:marLeft w:val="0"/>
          <w:marRight w:val="0"/>
          <w:marTop w:val="0"/>
          <w:marBottom w:val="0"/>
          <w:divBdr>
            <w:top w:val="none" w:sz="0" w:space="0" w:color="auto"/>
            <w:left w:val="none" w:sz="0" w:space="0" w:color="auto"/>
            <w:bottom w:val="none" w:sz="0" w:space="0" w:color="auto"/>
            <w:right w:val="none" w:sz="0" w:space="0" w:color="auto"/>
          </w:divBdr>
        </w:div>
        <w:div w:id="926883094">
          <w:marLeft w:val="0"/>
          <w:marRight w:val="0"/>
          <w:marTop w:val="0"/>
          <w:marBottom w:val="0"/>
          <w:divBdr>
            <w:top w:val="none" w:sz="0" w:space="0" w:color="auto"/>
            <w:left w:val="none" w:sz="0" w:space="0" w:color="auto"/>
            <w:bottom w:val="none" w:sz="0" w:space="0" w:color="auto"/>
            <w:right w:val="none" w:sz="0" w:space="0" w:color="auto"/>
          </w:divBdr>
        </w:div>
        <w:div w:id="1986816209">
          <w:marLeft w:val="0"/>
          <w:marRight w:val="0"/>
          <w:marTop w:val="0"/>
          <w:marBottom w:val="0"/>
          <w:divBdr>
            <w:top w:val="none" w:sz="0" w:space="0" w:color="auto"/>
            <w:left w:val="none" w:sz="0" w:space="0" w:color="auto"/>
            <w:bottom w:val="none" w:sz="0" w:space="0" w:color="auto"/>
            <w:right w:val="none" w:sz="0" w:space="0" w:color="auto"/>
          </w:divBdr>
        </w:div>
      </w:divsChild>
    </w:div>
    <w:div w:id="1317880549">
      <w:bodyDiv w:val="1"/>
      <w:marLeft w:val="0"/>
      <w:marRight w:val="0"/>
      <w:marTop w:val="0"/>
      <w:marBottom w:val="0"/>
      <w:divBdr>
        <w:top w:val="none" w:sz="0" w:space="0" w:color="auto"/>
        <w:left w:val="none" w:sz="0" w:space="0" w:color="auto"/>
        <w:bottom w:val="none" w:sz="0" w:space="0" w:color="auto"/>
        <w:right w:val="none" w:sz="0" w:space="0" w:color="auto"/>
      </w:divBdr>
      <w:divsChild>
        <w:div w:id="617218736">
          <w:marLeft w:val="0"/>
          <w:marRight w:val="0"/>
          <w:marTop w:val="0"/>
          <w:marBottom w:val="0"/>
          <w:divBdr>
            <w:top w:val="none" w:sz="0" w:space="0" w:color="auto"/>
            <w:left w:val="none" w:sz="0" w:space="0" w:color="auto"/>
            <w:bottom w:val="none" w:sz="0" w:space="0" w:color="auto"/>
            <w:right w:val="none" w:sz="0" w:space="0" w:color="auto"/>
          </w:divBdr>
        </w:div>
        <w:div w:id="763495447">
          <w:marLeft w:val="0"/>
          <w:marRight w:val="0"/>
          <w:marTop w:val="0"/>
          <w:marBottom w:val="0"/>
          <w:divBdr>
            <w:top w:val="none" w:sz="0" w:space="0" w:color="auto"/>
            <w:left w:val="none" w:sz="0" w:space="0" w:color="auto"/>
            <w:bottom w:val="none" w:sz="0" w:space="0" w:color="auto"/>
            <w:right w:val="none" w:sz="0" w:space="0" w:color="auto"/>
          </w:divBdr>
        </w:div>
        <w:div w:id="1741516425">
          <w:marLeft w:val="0"/>
          <w:marRight w:val="0"/>
          <w:marTop w:val="0"/>
          <w:marBottom w:val="0"/>
          <w:divBdr>
            <w:top w:val="none" w:sz="0" w:space="0" w:color="auto"/>
            <w:left w:val="none" w:sz="0" w:space="0" w:color="auto"/>
            <w:bottom w:val="none" w:sz="0" w:space="0" w:color="auto"/>
            <w:right w:val="none" w:sz="0" w:space="0" w:color="auto"/>
          </w:divBdr>
        </w:div>
        <w:div w:id="482085502">
          <w:marLeft w:val="0"/>
          <w:marRight w:val="0"/>
          <w:marTop w:val="0"/>
          <w:marBottom w:val="0"/>
          <w:divBdr>
            <w:top w:val="none" w:sz="0" w:space="0" w:color="auto"/>
            <w:left w:val="none" w:sz="0" w:space="0" w:color="auto"/>
            <w:bottom w:val="none" w:sz="0" w:space="0" w:color="auto"/>
            <w:right w:val="none" w:sz="0" w:space="0" w:color="auto"/>
          </w:divBdr>
        </w:div>
        <w:div w:id="275527326">
          <w:marLeft w:val="0"/>
          <w:marRight w:val="0"/>
          <w:marTop w:val="0"/>
          <w:marBottom w:val="0"/>
          <w:divBdr>
            <w:top w:val="none" w:sz="0" w:space="0" w:color="auto"/>
            <w:left w:val="none" w:sz="0" w:space="0" w:color="auto"/>
            <w:bottom w:val="none" w:sz="0" w:space="0" w:color="auto"/>
            <w:right w:val="none" w:sz="0" w:space="0" w:color="auto"/>
          </w:divBdr>
        </w:div>
        <w:div w:id="1530798973">
          <w:marLeft w:val="0"/>
          <w:marRight w:val="0"/>
          <w:marTop w:val="0"/>
          <w:marBottom w:val="0"/>
          <w:divBdr>
            <w:top w:val="none" w:sz="0" w:space="0" w:color="auto"/>
            <w:left w:val="none" w:sz="0" w:space="0" w:color="auto"/>
            <w:bottom w:val="none" w:sz="0" w:space="0" w:color="auto"/>
            <w:right w:val="none" w:sz="0" w:space="0" w:color="auto"/>
          </w:divBdr>
        </w:div>
        <w:div w:id="69930298">
          <w:marLeft w:val="0"/>
          <w:marRight w:val="0"/>
          <w:marTop w:val="0"/>
          <w:marBottom w:val="0"/>
          <w:divBdr>
            <w:top w:val="none" w:sz="0" w:space="0" w:color="auto"/>
            <w:left w:val="none" w:sz="0" w:space="0" w:color="auto"/>
            <w:bottom w:val="none" w:sz="0" w:space="0" w:color="auto"/>
            <w:right w:val="none" w:sz="0" w:space="0" w:color="auto"/>
          </w:divBdr>
        </w:div>
        <w:div w:id="1793093486">
          <w:marLeft w:val="0"/>
          <w:marRight w:val="0"/>
          <w:marTop w:val="0"/>
          <w:marBottom w:val="0"/>
          <w:divBdr>
            <w:top w:val="none" w:sz="0" w:space="0" w:color="auto"/>
            <w:left w:val="none" w:sz="0" w:space="0" w:color="auto"/>
            <w:bottom w:val="none" w:sz="0" w:space="0" w:color="auto"/>
            <w:right w:val="none" w:sz="0" w:space="0" w:color="auto"/>
          </w:divBdr>
        </w:div>
        <w:div w:id="2116900297">
          <w:marLeft w:val="0"/>
          <w:marRight w:val="0"/>
          <w:marTop w:val="0"/>
          <w:marBottom w:val="0"/>
          <w:divBdr>
            <w:top w:val="none" w:sz="0" w:space="0" w:color="auto"/>
            <w:left w:val="none" w:sz="0" w:space="0" w:color="auto"/>
            <w:bottom w:val="none" w:sz="0" w:space="0" w:color="auto"/>
            <w:right w:val="none" w:sz="0" w:space="0" w:color="auto"/>
          </w:divBdr>
        </w:div>
        <w:div w:id="504631652">
          <w:marLeft w:val="0"/>
          <w:marRight w:val="0"/>
          <w:marTop w:val="0"/>
          <w:marBottom w:val="0"/>
          <w:divBdr>
            <w:top w:val="none" w:sz="0" w:space="0" w:color="auto"/>
            <w:left w:val="none" w:sz="0" w:space="0" w:color="auto"/>
            <w:bottom w:val="none" w:sz="0" w:space="0" w:color="auto"/>
            <w:right w:val="none" w:sz="0" w:space="0" w:color="auto"/>
          </w:divBdr>
        </w:div>
        <w:div w:id="714963458">
          <w:marLeft w:val="0"/>
          <w:marRight w:val="0"/>
          <w:marTop w:val="0"/>
          <w:marBottom w:val="0"/>
          <w:divBdr>
            <w:top w:val="none" w:sz="0" w:space="0" w:color="auto"/>
            <w:left w:val="none" w:sz="0" w:space="0" w:color="auto"/>
            <w:bottom w:val="none" w:sz="0" w:space="0" w:color="auto"/>
            <w:right w:val="none" w:sz="0" w:space="0" w:color="auto"/>
          </w:divBdr>
        </w:div>
      </w:divsChild>
    </w:div>
    <w:div w:id="1434595855">
      <w:bodyDiv w:val="1"/>
      <w:marLeft w:val="0"/>
      <w:marRight w:val="0"/>
      <w:marTop w:val="0"/>
      <w:marBottom w:val="0"/>
      <w:divBdr>
        <w:top w:val="none" w:sz="0" w:space="0" w:color="auto"/>
        <w:left w:val="none" w:sz="0" w:space="0" w:color="auto"/>
        <w:bottom w:val="none" w:sz="0" w:space="0" w:color="auto"/>
        <w:right w:val="none" w:sz="0" w:space="0" w:color="auto"/>
      </w:divBdr>
      <w:divsChild>
        <w:div w:id="64379213">
          <w:marLeft w:val="0"/>
          <w:marRight w:val="0"/>
          <w:marTop w:val="0"/>
          <w:marBottom w:val="0"/>
          <w:divBdr>
            <w:top w:val="none" w:sz="0" w:space="0" w:color="auto"/>
            <w:left w:val="none" w:sz="0" w:space="0" w:color="auto"/>
            <w:bottom w:val="none" w:sz="0" w:space="0" w:color="auto"/>
            <w:right w:val="none" w:sz="0" w:space="0" w:color="auto"/>
          </w:divBdr>
        </w:div>
        <w:div w:id="58140720">
          <w:marLeft w:val="0"/>
          <w:marRight w:val="0"/>
          <w:marTop w:val="0"/>
          <w:marBottom w:val="0"/>
          <w:divBdr>
            <w:top w:val="none" w:sz="0" w:space="0" w:color="auto"/>
            <w:left w:val="none" w:sz="0" w:space="0" w:color="auto"/>
            <w:bottom w:val="none" w:sz="0" w:space="0" w:color="auto"/>
            <w:right w:val="none" w:sz="0" w:space="0" w:color="auto"/>
          </w:divBdr>
        </w:div>
      </w:divsChild>
    </w:div>
    <w:div w:id="1495148667">
      <w:bodyDiv w:val="1"/>
      <w:marLeft w:val="0"/>
      <w:marRight w:val="0"/>
      <w:marTop w:val="0"/>
      <w:marBottom w:val="0"/>
      <w:divBdr>
        <w:top w:val="none" w:sz="0" w:space="0" w:color="auto"/>
        <w:left w:val="none" w:sz="0" w:space="0" w:color="auto"/>
        <w:bottom w:val="none" w:sz="0" w:space="0" w:color="auto"/>
        <w:right w:val="none" w:sz="0" w:space="0" w:color="auto"/>
      </w:divBdr>
      <w:divsChild>
        <w:div w:id="1948731182">
          <w:marLeft w:val="0"/>
          <w:marRight w:val="0"/>
          <w:marTop w:val="0"/>
          <w:marBottom w:val="0"/>
          <w:divBdr>
            <w:top w:val="none" w:sz="0" w:space="0" w:color="auto"/>
            <w:left w:val="none" w:sz="0" w:space="0" w:color="auto"/>
            <w:bottom w:val="none" w:sz="0" w:space="0" w:color="auto"/>
            <w:right w:val="none" w:sz="0" w:space="0" w:color="auto"/>
          </w:divBdr>
        </w:div>
        <w:div w:id="1202009938">
          <w:marLeft w:val="0"/>
          <w:marRight w:val="0"/>
          <w:marTop w:val="0"/>
          <w:marBottom w:val="0"/>
          <w:divBdr>
            <w:top w:val="none" w:sz="0" w:space="0" w:color="auto"/>
            <w:left w:val="none" w:sz="0" w:space="0" w:color="auto"/>
            <w:bottom w:val="none" w:sz="0" w:space="0" w:color="auto"/>
            <w:right w:val="none" w:sz="0" w:space="0" w:color="auto"/>
          </w:divBdr>
        </w:div>
        <w:div w:id="1870143229">
          <w:marLeft w:val="0"/>
          <w:marRight w:val="0"/>
          <w:marTop w:val="0"/>
          <w:marBottom w:val="0"/>
          <w:divBdr>
            <w:top w:val="none" w:sz="0" w:space="0" w:color="auto"/>
            <w:left w:val="none" w:sz="0" w:space="0" w:color="auto"/>
            <w:bottom w:val="none" w:sz="0" w:space="0" w:color="auto"/>
            <w:right w:val="none" w:sz="0" w:space="0" w:color="auto"/>
          </w:divBdr>
        </w:div>
        <w:div w:id="1637182993">
          <w:marLeft w:val="0"/>
          <w:marRight w:val="0"/>
          <w:marTop w:val="0"/>
          <w:marBottom w:val="0"/>
          <w:divBdr>
            <w:top w:val="none" w:sz="0" w:space="0" w:color="auto"/>
            <w:left w:val="none" w:sz="0" w:space="0" w:color="auto"/>
            <w:bottom w:val="none" w:sz="0" w:space="0" w:color="auto"/>
            <w:right w:val="none" w:sz="0" w:space="0" w:color="auto"/>
          </w:divBdr>
        </w:div>
        <w:div w:id="981538638">
          <w:marLeft w:val="0"/>
          <w:marRight w:val="0"/>
          <w:marTop w:val="0"/>
          <w:marBottom w:val="0"/>
          <w:divBdr>
            <w:top w:val="none" w:sz="0" w:space="0" w:color="auto"/>
            <w:left w:val="none" w:sz="0" w:space="0" w:color="auto"/>
            <w:bottom w:val="none" w:sz="0" w:space="0" w:color="auto"/>
            <w:right w:val="none" w:sz="0" w:space="0" w:color="auto"/>
          </w:divBdr>
        </w:div>
        <w:div w:id="686373807">
          <w:marLeft w:val="0"/>
          <w:marRight w:val="0"/>
          <w:marTop w:val="0"/>
          <w:marBottom w:val="0"/>
          <w:divBdr>
            <w:top w:val="none" w:sz="0" w:space="0" w:color="auto"/>
            <w:left w:val="none" w:sz="0" w:space="0" w:color="auto"/>
            <w:bottom w:val="none" w:sz="0" w:space="0" w:color="auto"/>
            <w:right w:val="none" w:sz="0" w:space="0" w:color="auto"/>
          </w:divBdr>
        </w:div>
        <w:div w:id="1408570690">
          <w:marLeft w:val="0"/>
          <w:marRight w:val="0"/>
          <w:marTop w:val="0"/>
          <w:marBottom w:val="0"/>
          <w:divBdr>
            <w:top w:val="none" w:sz="0" w:space="0" w:color="auto"/>
            <w:left w:val="none" w:sz="0" w:space="0" w:color="auto"/>
            <w:bottom w:val="none" w:sz="0" w:space="0" w:color="auto"/>
            <w:right w:val="none" w:sz="0" w:space="0" w:color="auto"/>
          </w:divBdr>
        </w:div>
        <w:div w:id="268702653">
          <w:marLeft w:val="0"/>
          <w:marRight w:val="0"/>
          <w:marTop w:val="0"/>
          <w:marBottom w:val="0"/>
          <w:divBdr>
            <w:top w:val="none" w:sz="0" w:space="0" w:color="auto"/>
            <w:left w:val="none" w:sz="0" w:space="0" w:color="auto"/>
            <w:bottom w:val="none" w:sz="0" w:space="0" w:color="auto"/>
            <w:right w:val="none" w:sz="0" w:space="0" w:color="auto"/>
          </w:divBdr>
        </w:div>
        <w:div w:id="878861345">
          <w:marLeft w:val="0"/>
          <w:marRight w:val="0"/>
          <w:marTop w:val="0"/>
          <w:marBottom w:val="0"/>
          <w:divBdr>
            <w:top w:val="none" w:sz="0" w:space="0" w:color="auto"/>
            <w:left w:val="none" w:sz="0" w:space="0" w:color="auto"/>
            <w:bottom w:val="none" w:sz="0" w:space="0" w:color="auto"/>
            <w:right w:val="none" w:sz="0" w:space="0" w:color="auto"/>
          </w:divBdr>
        </w:div>
        <w:div w:id="2049336053">
          <w:marLeft w:val="0"/>
          <w:marRight w:val="0"/>
          <w:marTop w:val="0"/>
          <w:marBottom w:val="0"/>
          <w:divBdr>
            <w:top w:val="none" w:sz="0" w:space="0" w:color="auto"/>
            <w:left w:val="none" w:sz="0" w:space="0" w:color="auto"/>
            <w:bottom w:val="none" w:sz="0" w:space="0" w:color="auto"/>
            <w:right w:val="none" w:sz="0" w:space="0" w:color="auto"/>
          </w:divBdr>
        </w:div>
        <w:div w:id="1968077365">
          <w:marLeft w:val="0"/>
          <w:marRight w:val="0"/>
          <w:marTop w:val="0"/>
          <w:marBottom w:val="0"/>
          <w:divBdr>
            <w:top w:val="none" w:sz="0" w:space="0" w:color="auto"/>
            <w:left w:val="none" w:sz="0" w:space="0" w:color="auto"/>
            <w:bottom w:val="none" w:sz="0" w:space="0" w:color="auto"/>
            <w:right w:val="none" w:sz="0" w:space="0" w:color="auto"/>
          </w:divBdr>
        </w:div>
        <w:div w:id="10300528">
          <w:marLeft w:val="0"/>
          <w:marRight w:val="0"/>
          <w:marTop w:val="0"/>
          <w:marBottom w:val="0"/>
          <w:divBdr>
            <w:top w:val="none" w:sz="0" w:space="0" w:color="auto"/>
            <w:left w:val="none" w:sz="0" w:space="0" w:color="auto"/>
            <w:bottom w:val="none" w:sz="0" w:space="0" w:color="auto"/>
            <w:right w:val="none" w:sz="0" w:space="0" w:color="auto"/>
          </w:divBdr>
        </w:div>
        <w:div w:id="1432815091">
          <w:marLeft w:val="0"/>
          <w:marRight w:val="0"/>
          <w:marTop w:val="0"/>
          <w:marBottom w:val="0"/>
          <w:divBdr>
            <w:top w:val="none" w:sz="0" w:space="0" w:color="auto"/>
            <w:left w:val="none" w:sz="0" w:space="0" w:color="auto"/>
            <w:bottom w:val="none" w:sz="0" w:space="0" w:color="auto"/>
            <w:right w:val="none" w:sz="0" w:space="0" w:color="auto"/>
          </w:divBdr>
        </w:div>
        <w:div w:id="1174807661">
          <w:marLeft w:val="0"/>
          <w:marRight w:val="0"/>
          <w:marTop w:val="0"/>
          <w:marBottom w:val="0"/>
          <w:divBdr>
            <w:top w:val="none" w:sz="0" w:space="0" w:color="auto"/>
            <w:left w:val="none" w:sz="0" w:space="0" w:color="auto"/>
            <w:bottom w:val="none" w:sz="0" w:space="0" w:color="auto"/>
            <w:right w:val="none" w:sz="0" w:space="0" w:color="auto"/>
          </w:divBdr>
        </w:div>
        <w:div w:id="13001005">
          <w:marLeft w:val="0"/>
          <w:marRight w:val="0"/>
          <w:marTop w:val="0"/>
          <w:marBottom w:val="0"/>
          <w:divBdr>
            <w:top w:val="none" w:sz="0" w:space="0" w:color="auto"/>
            <w:left w:val="none" w:sz="0" w:space="0" w:color="auto"/>
            <w:bottom w:val="none" w:sz="0" w:space="0" w:color="auto"/>
            <w:right w:val="none" w:sz="0" w:space="0" w:color="auto"/>
          </w:divBdr>
        </w:div>
        <w:div w:id="856236952">
          <w:marLeft w:val="0"/>
          <w:marRight w:val="0"/>
          <w:marTop w:val="0"/>
          <w:marBottom w:val="0"/>
          <w:divBdr>
            <w:top w:val="none" w:sz="0" w:space="0" w:color="auto"/>
            <w:left w:val="none" w:sz="0" w:space="0" w:color="auto"/>
            <w:bottom w:val="none" w:sz="0" w:space="0" w:color="auto"/>
            <w:right w:val="none" w:sz="0" w:space="0" w:color="auto"/>
          </w:divBdr>
        </w:div>
        <w:div w:id="69426724">
          <w:marLeft w:val="0"/>
          <w:marRight w:val="0"/>
          <w:marTop w:val="0"/>
          <w:marBottom w:val="0"/>
          <w:divBdr>
            <w:top w:val="none" w:sz="0" w:space="0" w:color="auto"/>
            <w:left w:val="none" w:sz="0" w:space="0" w:color="auto"/>
            <w:bottom w:val="none" w:sz="0" w:space="0" w:color="auto"/>
            <w:right w:val="none" w:sz="0" w:space="0" w:color="auto"/>
          </w:divBdr>
        </w:div>
        <w:div w:id="968362149">
          <w:marLeft w:val="0"/>
          <w:marRight w:val="0"/>
          <w:marTop w:val="0"/>
          <w:marBottom w:val="0"/>
          <w:divBdr>
            <w:top w:val="none" w:sz="0" w:space="0" w:color="auto"/>
            <w:left w:val="none" w:sz="0" w:space="0" w:color="auto"/>
            <w:bottom w:val="none" w:sz="0" w:space="0" w:color="auto"/>
            <w:right w:val="none" w:sz="0" w:space="0" w:color="auto"/>
          </w:divBdr>
        </w:div>
        <w:div w:id="893203140">
          <w:marLeft w:val="0"/>
          <w:marRight w:val="0"/>
          <w:marTop w:val="0"/>
          <w:marBottom w:val="0"/>
          <w:divBdr>
            <w:top w:val="none" w:sz="0" w:space="0" w:color="auto"/>
            <w:left w:val="none" w:sz="0" w:space="0" w:color="auto"/>
            <w:bottom w:val="none" w:sz="0" w:space="0" w:color="auto"/>
            <w:right w:val="none" w:sz="0" w:space="0" w:color="auto"/>
          </w:divBdr>
        </w:div>
        <w:div w:id="569003998">
          <w:marLeft w:val="0"/>
          <w:marRight w:val="0"/>
          <w:marTop w:val="0"/>
          <w:marBottom w:val="0"/>
          <w:divBdr>
            <w:top w:val="none" w:sz="0" w:space="0" w:color="auto"/>
            <w:left w:val="none" w:sz="0" w:space="0" w:color="auto"/>
            <w:bottom w:val="none" w:sz="0" w:space="0" w:color="auto"/>
            <w:right w:val="none" w:sz="0" w:space="0" w:color="auto"/>
          </w:divBdr>
        </w:div>
        <w:div w:id="306013643">
          <w:marLeft w:val="0"/>
          <w:marRight w:val="0"/>
          <w:marTop w:val="0"/>
          <w:marBottom w:val="0"/>
          <w:divBdr>
            <w:top w:val="none" w:sz="0" w:space="0" w:color="auto"/>
            <w:left w:val="none" w:sz="0" w:space="0" w:color="auto"/>
            <w:bottom w:val="none" w:sz="0" w:space="0" w:color="auto"/>
            <w:right w:val="none" w:sz="0" w:space="0" w:color="auto"/>
          </w:divBdr>
        </w:div>
        <w:div w:id="932474763">
          <w:marLeft w:val="0"/>
          <w:marRight w:val="0"/>
          <w:marTop w:val="0"/>
          <w:marBottom w:val="0"/>
          <w:divBdr>
            <w:top w:val="none" w:sz="0" w:space="0" w:color="auto"/>
            <w:left w:val="none" w:sz="0" w:space="0" w:color="auto"/>
            <w:bottom w:val="none" w:sz="0" w:space="0" w:color="auto"/>
            <w:right w:val="none" w:sz="0" w:space="0" w:color="auto"/>
          </w:divBdr>
        </w:div>
        <w:div w:id="1149442851">
          <w:marLeft w:val="0"/>
          <w:marRight w:val="0"/>
          <w:marTop w:val="0"/>
          <w:marBottom w:val="0"/>
          <w:divBdr>
            <w:top w:val="none" w:sz="0" w:space="0" w:color="auto"/>
            <w:left w:val="none" w:sz="0" w:space="0" w:color="auto"/>
            <w:bottom w:val="none" w:sz="0" w:space="0" w:color="auto"/>
            <w:right w:val="none" w:sz="0" w:space="0" w:color="auto"/>
          </w:divBdr>
        </w:div>
        <w:div w:id="700395853">
          <w:marLeft w:val="0"/>
          <w:marRight w:val="0"/>
          <w:marTop w:val="0"/>
          <w:marBottom w:val="0"/>
          <w:divBdr>
            <w:top w:val="none" w:sz="0" w:space="0" w:color="auto"/>
            <w:left w:val="none" w:sz="0" w:space="0" w:color="auto"/>
            <w:bottom w:val="none" w:sz="0" w:space="0" w:color="auto"/>
            <w:right w:val="none" w:sz="0" w:space="0" w:color="auto"/>
          </w:divBdr>
        </w:div>
        <w:div w:id="2047674137">
          <w:marLeft w:val="0"/>
          <w:marRight w:val="0"/>
          <w:marTop w:val="0"/>
          <w:marBottom w:val="0"/>
          <w:divBdr>
            <w:top w:val="none" w:sz="0" w:space="0" w:color="auto"/>
            <w:left w:val="none" w:sz="0" w:space="0" w:color="auto"/>
            <w:bottom w:val="none" w:sz="0" w:space="0" w:color="auto"/>
            <w:right w:val="none" w:sz="0" w:space="0" w:color="auto"/>
          </w:divBdr>
        </w:div>
        <w:div w:id="1245140738">
          <w:marLeft w:val="0"/>
          <w:marRight w:val="0"/>
          <w:marTop w:val="0"/>
          <w:marBottom w:val="0"/>
          <w:divBdr>
            <w:top w:val="none" w:sz="0" w:space="0" w:color="auto"/>
            <w:left w:val="none" w:sz="0" w:space="0" w:color="auto"/>
            <w:bottom w:val="none" w:sz="0" w:space="0" w:color="auto"/>
            <w:right w:val="none" w:sz="0" w:space="0" w:color="auto"/>
          </w:divBdr>
        </w:div>
        <w:div w:id="167522420">
          <w:marLeft w:val="0"/>
          <w:marRight w:val="0"/>
          <w:marTop w:val="0"/>
          <w:marBottom w:val="0"/>
          <w:divBdr>
            <w:top w:val="none" w:sz="0" w:space="0" w:color="auto"/>
            <w:left w:val="none" w:sz="0" w:space="0" w:color="auto"/>
            <w:bottom w:val="none" w:sz="0" w:space="0" w:color="auto"/>
            <w:right w:val="none" w:sz="0" w:space="0" w:color="auto"/>
          </w:divBdr>
        </w:div>
        <w:div w:id="2039812464">
          <w:marLeft w:val="0"/>
          <w:marRight w:val="0"/>
          <w:marTop w:val="0"/>
          <w:marBottom w:val="0"/>
          <w:divBdr>
            <w:top w:val="none" w:sz="0" w:space="0" w:color="auto"/>
            <w:left w:val="none" w:sz="0" w:space="0" w:color="auto"/>
            <w:bottom w:val="none" w:sz="0" w:space="0" w:color="auto"/>
            <w:right w:val="none" w:sz="0" w:space="0" w:color="auto"/>
          </w:divBdr>
        </w:div>
        <w:div w:id="1925994627">
          <w:marLeft w:val="0"/>
          <w:marRight w:val="0"/>
          <w:marTop w:val="0"/>
          <w:marBottom w:val="0"/>
          <w:divBdr>
            <w:top w:val="none" w:sz="0" w:space="0" w:color="auto"/>
            <w:left w:val="none" w:sz="0" w:space="0" w:color="auto"/>
            <w:bottom w:val="none" w:sz="0" w:space="0" w:color="auto"/>
            <w:right w:val="none" w:sz="0" w:space="0" w:color="auto"/>
          </w:divBdr>
        </w:div>
        <w:div w:id="1157763024">
          <w:marLeft w:val="0"/>
          <w:marRight w:val="0"/>
          <w:marTop w:val="0"/>
          <w:marBottom w:val="0"/>
          <w:divBdr>
            <w:top w:val="none" w:sz="0" w:space="0" w:color="auto"/>
            <w:left w:val="none" w:sz="0" w:space="0" w:color="auto"/>
            <w:bottom w:val="none" w:sz="0" w:space="0" w:color="auto"/>
            <w:right w:val="none" w:sz="0" w:space="0" w:color="auto"/>
          </w:divBdr>
        </w:div>
        <w:div w:id="423502062">
          <w:marLeft w:val="0"/>
          <w:marRight w:val="0"/>
          <w:marTop w:val="0"/>
          <w:marBottom w:val="0"/>
          <w:divBdr>
            <w:top w:val="none" w:sz="0" w:space="0" w:color="auto"/>
            <w:left w:val="none" w:sz="0" w:space="0" w:color="auto"/>
            <w:bottom w:val="none" w:sz="0" w:space="0" w:color="auto"/>
            <w:right w:val="none" w:sz="0" w:space="0" w:color="auto"/>
          </w:divBdr>
        </w:div>
        <w:div w:id="1355839495">
          <w:marLeft w:val="0"/>
          <w:marRight w:val="0"/>
          <w:marTop w:val="0"/>
          <w:marBottom w:val="0"/>
          <w:divBdr>
            <w:top w:val="none" w:sz="0" w:space="0" w:color="auto"/>
            <w:left w:val="none" w:sz="0" w:space="0" w:color="auto"/>
            <w:bottom w:val="none" w:sz="0" w:space="0" w:color="auto"/>
            <w:right w:val="none" w:sz="0" w:space="0" w:color="auto"/>
          </w:divBdr>
        </w:div>
        <w:div w:id="1169055220">
          <w:marLeft w:val="0"/>
          <w:marRight w:val="0"/>
          <w:marTop w:val="0"/>
          <w:marBottom w:val="0"/>
          <w:divBdr>
            <w:top w:val="none" w:sz="0" w:space="0" w:color="auto"/>
            <w:left w:val="none" w:sz="0" w:space="0" w:color="auto"/>
            <w:bottom w:val="none" w:sz="0" w:space="0" w:color="auto"/>
            <w:right w:val="none" w:sz="0" w:space="0" w:color="auto"/>
          </w:divBdr>
        </w:div>
        <w:div w:id="1881546809">
          <w:marLeft w:val="0"/>
          <w:marRight w:val="0"/>
          <w:marTop w:val="0"/>
          <w:marBottom w:val="0"/>
          <w:divBdr>
            <w:top w:val="none" w:sz="0" w:space="0" w:color="auto"/>
            <w:left w:val="none" w:sz="0" w:space="0" w:color="auto"/>
            <w:bottom w:val="none" w:sz="0" w:space="0" w:color="auto"/>
            <w:right w:val="none" w:sz="0" w:space="0" w:color="auto"/>
          </w:divBdr>
        </w:div>
        <w:div w:id="1317803116">
          <w:marLeft w:val="0"/>
          <w:marRight w:val="0"/>
          <w:marTop w:val="0"/>
          <w:marBottom w:val="0"/>
          <w:divBdr>
            <w:top w:val="none" w:sz="0" w:space="0" w:color="auto"/>
            <w:left w:val="none" w:sz="0" w:space="0" w:color="auto"/>
            <w:bottom w:val="none" w:sz="0" w:space="0" w:color="auto"/>
            <w:right w:val="none" w:sz="0" w:space="0" w:color="auto"/>
          </w:divBdr>
        </w:div>
        <w:div w:id="111442615">
          <w:marLeft w:val="0"/>
          <w:marRight w:val="0"/>
          <w:marTop w:val="0"/>
          <w:marBottom w:val="0"/>
          <w:divBdr>
            <w:top w:val="none" w:sz="0" w:space="0" w:color="auto"/>
            <w:left w:val="none" w:sz="0" w:space="0" w:color="auto"/>
            <w:bottom w:val="none" w:sz="0" w:space="0" w:color="auto"/>
            <w:right w:val="none" w:sz="0" w:space="0" w:color="auto"/>
          </w:divBdr>
        </w:div>
        <w:div w:id="1683585668">
          <w:marLeft w:val="0"/>
          <w:marRight w:val="0"/>
          <w:marTop w:val="0"/>
          <w:marBottom w:val="0"/>
          <w:divBdr>
            <w:top w:val="none" w:sz="0" w:space="0" w:color="auto"/>
            <w:left w:val="none" w:sz="0" w:space="0" w:color="auto"/>
            <w:bottom w:val="none" w:sz="0" w:space="0" w:color="auto"/>
            <w:right w:val="none" w:sz="0" w:space="0" w:color="auto"/>
          </w:divBdr>
        </w:div>
      </w:divsChild>
    </w:div>
    <w:div w:id="1644044876">
      <w:bodyDiv w:val="1"/>
      <w:marLeft w:val="0"/>
      <w:marRight w:val="0"/>
      <w:marTop w:val="0"/>
      <w:marBottom w:val="0"/>
      <w:divBdr>
        <w:top w:val="none" w:sz="0" w:space="0" w:color="auto"/>
        <w:left w:val="none" w:sz="0" w:space="0" w:color="auto"/>
        <w:bottom w:val="none" w:sz="0" w:space="0" w:color="auto"/>
        <w:right w:val="none" w:sz="0" w:space="0" w:color="auto"/>
      </w:divBdr>
      <w:divsChild>
        <w:div w:id="708533426">
          <w:marLeft w:val="0"/>
          <w:marRight w:val="0"/>
          <w:marTop w:val="0"/>
          <w:marBottom w:val="0"/>
          <w:divBdr>
            <w:top w:val="none" w:sz="0" w:space="0" w:color="auto"/>
            <w:left w:val="none" w:sz="0" w:space="0" w:color="auto"/>
            <w:bottom w:val="none" w:sz="0" w:space="0" w:color="auto"/>
            <w:right w:val="none" w:sz="0" w:space="0" w:color="auto"/>
          </w:divBdr>
        </w:div>
        <w:div w:id="1075861482">
          <w:marLeft w:val="0"/>
          <w:marRight w:val="0"/>
          <w:marTop w:val="0"/>
          <w:marBottom w:val="0"/>
          <w:divBdr>
            <w:top w:val="none" w:sz="0" w:space="0" w:color="auto"/>
            <w:left w:val="none" w:sz="0" w:space="0" w:color="auto"/>
            <w:bottom w:val="none" w:sz="0" w:space="0" w:color="auto"/>
            <w:right w:val="none" w:sz="0" w:space="0" w:color="auto"/>
          </w:divBdr>
        </w:div>
        <w:div w:id="1617105243">
          <w:marLeft w:val="0"/>
          <w:marRight w:val="0"/>
          <w:marTop w:val="0"/>
          <w:marBottom w:val="0"/>
          <w:divBdr>
            <w:top w:val="none" w:sz="0" w:space="0" w:color="auto"/>
            <w:left w:val="none" w:sz="0" w:space="0" w:color="auto"/>
            <w:bottom w:val="none" w:sz="0" w:space="0" w:color="auto"/>
            <w:right w:val="none" w:sz="0" w:space="0" w:color="auto"/>
          </w:divBdr>
        </w:div>
        <w:div w:id="1709793536">
          <w:marLeft w:val="0"/>
          <w:marRight w:val="0"/>
          <w:marTop w:val="0"/>
          <w:marBottom w:val="0"/>
          <w:divBdr>
            <w:top w:val="none" w:sz="0" w:space="0" w:color="auto"/>
            <w:left w:val="none" w:sz="0" w:space="0" w:color="auto"/>
            <w:bottom w:val="none" w:sz="0" w:space="0" w:color="auto"/>
            <w:right w:val="none" w:sz="0" w:space="0" w:color="auto"/>
          </w:divBdr>
        </w:div>
      </w:divsChild>
    </w:div>
    <w:div w:id="1825388604">
      <w:bodyDiv w:val="1"/>
      <w:marLeft w:val="0"/>
      <w:marRight w:val="0"/>
      <w:marTop w:val="0"/>
      <w:marBottom w:val="0"/>
      <w:divBdr>
        <w:top w:val="none" w:sz="0" w:space="0" w:color="auto"/>
        <w:left w:val="none" w:sz="0" w:space="0" w:color="auto"/>
        <w:bottom w:val="none" w:sz="0" w:space="0" w:color="auto"/>
        <w:right w:val="none" w:sz="0" w:space="0" w:color="auto"/>
      </w:divBdr>
      <w:divsChild>
        <w:div w:id="1703359340">
          <w:marLeft w:val="0"/>
          <w:marRight w:val="0"/>
          <w:marTop w:val="0"/>
          <w:marBottom w:val="0"/>
          <w:divBdr>
            <w:top w:val="none" w:sz="0" w:space="0" w:color="auto"/>
            <w:left w:val="none" w:sz="0" w:space="0" w:color="auto"/>
            <w:bottom w:val="none" w:sz="0" w:space="0" w:color="auto"/>
            <w:right w:val="none" w:sz="0" w:space="0" w:color="auto"/>
          </w:divBdr>
        </w:div>
        <w:div w:id="1190948211">
          <w:marLeft w:val="0"/>
          <w:marRight w:val="0"/>
          <w:marTop w:val="0"/>
          <w:marBottom w:val="0"/>
          <w:divBdr>
            <w:top w:val="none" w:sz="0" w:space="0" w:color="auto"/>
            <w:left w:val="none" w:sz="0" w:space="0" w:color="auto"/>
            <w:bottom w:val="none" w:sz="0" w:space="0" w:color="auto"/>
            <w:right w:val="none" w:sz="0" w:space="0" w:color="auto"/>
          </w:divBdr>
        </w:div>
        <w:div w:id="1930498943">
          <w:marLeft w:val="0"/>
          <w:marRight w:val="0"/>
          <w:marTop w:val="0"/>
          <w:marBottom w:val="0"/>
          <w:divBdr>
            <w:top w:val="none" w:sz="0" w:space="0" w:color="auto"/>
            <w:left w:val="none" w:sz="0" w:space="0" w:color="auto"/>
            <w:bottom w:val="none" w:sz="0" w:space="0" w:color="auto"/>
            <w:right w:val="none" w:sz="0" w:space="0" w:color="auto"/>
          </w:divBdr>
        </w:div>
        <w:div w:id="1891190994">
          <w:marLeft w:val="0"/>
          <w:marRight w:val="0"/>
          <w:marTop w:val="0"/>
          <w:marBottom w:val="0"/>
          <w:divBdr>
            <w:top w:val="none" w:sz="0" w:space="0" w:color="auto"/>
            <w:left w:val="none" w:sz="0" w:space="0" w:color="auto"/>
            <w:bottom w:val="none" w:sz="0" w:space="0" w:color="auto"/>
            <w:right w:val="none" w:sz="0" w:space="0" w:color="auto"/>
          </w:divBdr>
        </w:div>
        <w:div w:id="1344087417">
          <w:marLeft w:val="0"/>
          <w:marRight w:val="0"/>
          <w:marTop w:val="0"/>
          <w:marBottom w:val="0"/>
          <w:divBdr>
            <w:top w:val="none" w:sz="0" w:space="0" w:color="auto"/>
            <w:left w:val="none" w:sz="0" w:space="0" w:color="auto"/>
            <w:bottom w:val="none" w:sz="0" w:space="0" w:color="auto"/>
            <w:right w:val="none" w:sz="0" w:space="0" w:color="auto"/>
          </w:divBdr>
        </w:div>
        <w:div w:id="929657111">
          <w:marLeft w:val="0"/>
          <w:marRight w:val="0"/>
          <w:marTop w:val="0"/>
          <w:marBottom w:val="0"/>
          <w:divBdr>
            <w:top w:val="none" w:sz="0" w:space="0" w:color="auto"/>
            <w:left w:val="none" w:sz="0" w:space="0" w:color="auto"/>
            <w:bottom w:val="none" w:sz="0" w:space="0" w:color="auto"/>
            <w:right w:val="none" w:sz="0" w:space="0" w:color="auto"/>
          </w:divBdr>
        </w:div>
        <w:div w:id="766123207">
          <w:marLeft w:val="0"/>
          <w:marRight w:val="0"/>
          <w:marTop w:val="0"/>
          <w:marBottom w:val="0"/>
          <w:divBdr>
            <w:top w:val="none" w:sz="0" w:space="0" w:color="auto"/>
            <w:left w:val="none" w:sz="0" w:space="0" w:color="auto"/>
            <w:bottom w:val="none" w:sz="0" w:space="0" w:color="auto"/>
            <w:right w:val="none" w:sz="0" w:space="0" w:color="auto"/>
          </w:divBdr>
        </w:div>
        <w:div w:id="324208128">
          <w:marLeft w:val="0"/>
          <w:marRight w:val="0"/>
          <w:marTop w:val="0"/>
          <w:marBottom w:val="0"/>
          <w:divBdr>
            <w:top w:val="none" w:sz="0" w:space="0" w:color="auto"/>
            <w:left w:val="none" w:sz="0" w:space="0" w:color="auto"/>
            <w:bottom w:val="none" w:sz="0" w:space="0" w:color="auto"/>
            <w:right w:val="none" w:sz="0" w:space="0" w:color="auto"/>
          </w:divBdr>
        </w:div>
        <w:div w:id="650252561">
          <w:marLeft w:val="0"/>
          <w:marRight w:val="0"/>
          <w:marTop w:val="0"/>
          <w:marBottom w:val="0"/>
          <w:divBdr>
            <w:top w:val="none" w:sz="0" w:space="0" w:color="auto"/>
            <w:left w:val="none" w:sz="0" w:space="0" w:color="auto"/>
            <w:bottom w:val="none" w:sz="0" w:space="0" w:color="auto"/>
            <w:right w:val="none" w:sz="0" w:space="0" w:color="auto"/>
          </w:divBdr>
        </w:div>
        <w:div w:id="1111702892">
          <w:marLeft w:val="0"/>
          <w:marRight w:val="0"/>
          <w:marTop w:val="0"/>
          <w:marBottom w:val="0"/>
          <w:divBdr>
            <w:top w:val="none" w:sz="0" w:space="0" w:color="auto"/>
            <w:left w:val="none" w:sz="0" w:space="0" w:color="auto"/>
            <w:bottom w:val="none" w:sz="0" w:space="0" w:color="auto"/>
            <w:right w:val="none" w:sz="0" w:space="0" w:color="auto"/>
          </w:divBdr>
        </w:div>
        <w:div w:id="2088064472">
          <w:marLeft w:val="0"/>
          <w:marRight w:val="0"/>
          <w:marTop w:val="0"/>
          <w:marBottom w:val="0"/>
          <w:divBdr>
            <w:top w:val="none" w:sz="0" w:space="0" w:color="auto"/>
            <w:left w:val="none" w:sz="0" w:space="0" w:color="auto"/>
            <w:bottom w:val="none" w:sz="0" w:space="0" w:color="auto"/>
            <w:right w:val="none" w:sz="0" w:space="0" w:color="auto"/>
          </w:divBdr>
        </w:div>
        <w:div w:id="1601138141">
          <w:marLeft w:val="0"/>
          <w:marRight w:val="0"/>
          <w:marTop w:val="0"/>
          <w:marBottom w:val="0"/>
          <w:divBdr>
            <w:top w:val="none" w:sz="0" w:space="0" w:color="auto"/>
            <w:left w:val="none" w:sz="0" w:space="0" w:color="auto"/>
            <w:bottom w:val="none" w:sz="0" w:space="0" w:color="auto"/>
            <w:right w:val="none" w:sz="0" w:space="0" w:color="auto"/>
          </w:divBdr>
        </w:div>
        <w:div w:id="1873106474">
          <w:marLeft w:val="0"/>
          <w:marRight w:val="0"/>
          <w:marTop w:val="0"/>
          <w:marBottom w:val="0"/>
          <w:divBdr>
            <w:top w:val="none" w:sz="0" w:space="0" w:color="auto"/>
            <w:left w:val="none" w:sz="0" w:space="0" w:color="auto"/>
            <w:bottom w:val="none" w:sz="0" w:space="0" w:color="auto"/>
            <w:right w:val="none" w:sz="0" w:space="0" w:color="auto"/>
          </w:divBdr>
        </w:div>
        <w:div w:id="1022899989">
          <w:marLeft w:val="0"/>
          <w:marRight w:val="0"/>
          <w:marTop w:val="0"/>
          <w:marBottom w:val="0"/>
          <w:divBdr>
            <w:top w:val="none" w:sz="0" w:space="0" w:color="auto"/>
            <w:left w:val="none" w:sz="0" w:space="0" w:color="auto"/>
            <w:bottom w:val="none" w:sz="0" w:space="0" w:color="auto"/>
            <w:right w:val="none" w:sz="0" w:space="0" w:color="auto"/>
          </w:divBdr>
        </w:div>
        <w:div w:id="967510907">
          <w:marLeft w:val="0"/>
          <w:marRight w:val="0"/>
          <w:marTop w:val="0"/>
          <w:marBottom w:val="0"/>
          <w:divBdr>
            <w:top w:val="none" w:sz="0" w:space="0" w:color="auto"/>
            <w:left w:val="none" w:sz="0" w:space="0" w:color="auto"/>
            <w:bottom w:val="none" w:sz="0" w:space="0" w:color="auto"/>
            <w:right w:val="none" w:sz="0" w:space="0" w:color="auto"/>
          </w:divBdr>
        </w:div>
      </w:divsChild>
    </w:div>
    <w:div w:id="19171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transition.eu" TargetMode="External"/><Relationship Id="rId18" Type="http://schemas.openxmlformats.org/officeDocument/2006/relationships/hyperlink" Target="http://www.polishaid.gov.pl/files/dokumenty_publikacje/PW_EN-po_rea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europa.eu/europeaid/who/partners/eu-12-member-states/index_en.htm" TargetMode="External"/><Relationship Id="rId17" Type="http://schemas.openxmlformats.org/officeDocument/2006/relationships/hyperlink" Target="http://www.mzv.cz/file/591175/non_paper_on_the_transition_experience.pdf" TargetMode="External"/><Relationship Id="rId2" Type="http://schemas.openxmlformats.org/officeDocument/2006/relationships/numbering" Target="numbering.xml"/><Relationship Id="rId16" Type="http://schemas.openxmlformats.org/officeDocument/2006/relationships/hyperlink" Target="http://www.icdt.hu/about-us/introdu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zv.cz/oecd.paris/fr/actualites/la_republique_tch_que_devient_membre_du.html" TargetMode="External"/><Relationship Id="rId5" Type="http://schemas.openxmlformats.org/officeDocument/2006/relationships/settings" Target="settings.xml"/><Relationship Id="rId15" Type="http://schemas.openxmlformats.org/officeDocument/2006/relationships/hyperlink" Target="http://nefe.kormany.hu/download/5/f0/a0000/El%C5%91terjeszt%C3%A9s_NEFEstrat%20v%C3%A9gleges%20strat%C3%A9gia_561NEFEFO.pdf" TargetMode="External"/><Relationship Id="rId10" Type="http://schemas.openxmlformats.org/officeDocument/2006/relationships/hyperlink" Target="http://www.mzv.cz/public/d9/f6/92/545820_444905_Development_Cooperation_Strategy_2010_2017___final.do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outledge.com/books/search/author/ondej_horky_hlucha/" TargetMode="External"/><Relationship Id="rId14" Type="http://schemas.openxmlformats.org/officeDocument/2006/relationships/hyperlink" Target="http://www.routledge.com/books/search/author/ondej_horky_hluch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apacity4dev.ec.europa.eu/" TargetMode="External"/><Relationship Id="rId1" Type="http://schemas.openxmlformats.org/officeDocument/2006/relationships/hyperlink" Target="mailto:b.szent-ivanyi@aston.ac.u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E8A3A-F658-4884-85AB-187546D4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8180</Words>
  <Characters>46631</Characters>
  <Application>Microsoft Office Word</Application>
  <DocSecurity>0</DocSecurity>
  <Lines>388</Lines>
  <Paragraphs>109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Budapesti Corvinus Egyetem</Company>
  <LinksUpToDate>false</LinksUpToDate>
  <CharactersWithSpaces>54702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dc:creator>
  <cp:lastModifiedBy>Aston University</cp:lastModifiedBy>
  <cp:revision>3</cp:revision>
  <dcterms:created xsi:type="dcterms:W3CDTF">2015-02-23T16:11:00Z</dcterms:created>
  <dcterms:modified xsi:type="dcterms:W3CDTF">2015-02-23T16:12:00Z</dcterms:modified>
</cp:coreProperties>
</file>